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1C719" w14:textId="3BB35D21" w:rsidR="007D68F5" w:rsidRPr="0005091D" w:rsidRDefault="0005091D" w:rsidP="0005091D">
      <w:pPr>
        <w:pStyle w:val="Kop1"/>
        <w:pBdr>
          <w:top w:val="nil"/>
          <w:left w:val="nil"/>
          <w:bottom w:val="nil"/>
          <w:right w:val="nil"/>
          <w:between w:val="nil"/>
          <w:bar w:val="nil"/>
        </w:pBdr>
        <w:spacing w:before="0" w:after="0"/>
        <w:rPr>
          <w:sz w:val="18"/>
          <w:szCs w:val="18"/>
        </w:rPr>
      </w:pPr>
      <w:r w:rsidRPr="0005091D">
        <w:rPr>
          <w:sz w:val="18"/>
          <w:szCs w:val="18"/>
          <w:bdr w:val="nil"/>
        </w:rPr>
        <w:t xml:space="preserve"> </w:t>
      </w:r>
    </w:p>
    <w:p w14:paraId="04AFC701" w14:textId="77777777" w:rsidR="00CD4E8A" w:rsidRPr="0005091D" w:rsidRDefault="0005091D" w:rsidP="0005091D">
      <w:pPr>
        <w:pStyle w:val="Kop2"/>
        <w:spacing w:before="0" w:after="0"/>
        <w:rPr>
          <w:bCs/>
          <w:sz w:val="18"/>
          <w:szCs w:val="18"/>
          <w:bdr w:val="nil"/>
        </w:rPr>
      </w:pPr>
      <w:r w:rsidRPr="0005091D">
        <w:rPr>
          <w:bCs/>
          <w:sz w:val="18"/>
          <w:szCs w:val="18"/>
          <w:bdr w:val="nil"/>
        </w:rPr>
        <w:t xml:space="preserve">Algemeen </w:t>
      </w:r>
    </w:p>
    <w:p w14:paraId="66721853" w14:textId="77777777" w:rsidR="00CD4E8A" w:rsidRPr="0005091D" w:rsidRDefault="0005091D" w:rsidP="0005091D">
      <w:pPr>
        <w:rPr>
          <w:szCs w:val="18"/>
          <w:bdr w:val="nil"/>
        </w:rPr>
      </w:pPr>
      <w:r w:rsidRPr="0005091D">
        <w:rPr>
          <w:szCs w:val="18"/>
          <w:bdr w:val="nil"/>
        </w:rPr>
        <w:t> </w:t>
      </w:r>
    </w:p>
    <w:p w14:paraId="421C1360" w14:textId="77777777" w:rsidR="00CD4E8A" w:rsidRPr="0005091D" w:rsidRDefault="0005091D" w:rsidP="0005091D">
      <w:pPr>
        <w:pStyle w:val="Kop3"/>
        <w:spacing w:before="0" w:after="0"/>
        <w:rPr>
          <w:sz w:val="18"/>
          <w:szCs w:val="18"/>
          <w:bdr w:val="nil"/>
        </w:rPr>
      </w:pPr>
      <w:r w:rsidRPr="0005091D">
        <w:rPr>
          <w:sz w:val="18"/>
          <w:szCs w:val="18"/>
          <w:bdr w:val="nil"/>
        </w:rPr>
        <w:t>Wettelijke basis</w:t>
      </w:r>
    </w:p>
    <w:p w14:paraId="4A2020F1" w14:textId="2D9B39D4" w:rsidR="00CD4E8A" w:rsidRPr="0005091D" w:rsidRDefault="0005091D" w:rsidP="0005091D">
      <w:pPr>
        <w:rPr>
          <w:szCs w:val="18"/>
          <w:bdr w:val="nil"/>
        </w:rPr>
      </w:pPr>
      <w:r w:rsidRPr="0005091D">
        <w:rPr>
          <w:szCs w:val="18"/>
          <w:bdr w:val="nil"/>
        </w:rPr>
        <w:t xml:space="preserve">Ingevolge artikel 120, eerste lid, van de Waterschapswet moet het algemeen bestuur van een waterschap ten behoeve van de watersysteemheffing een verordening vaststellen waarin voor elk van de categorieën van heffingplichtigen de toedeling van het kostendeel is opgenomen. Deze verordening wordt in de praktijk de kostentoedelingsverordening genoemd. De kostentoedelingsverordening geeft aan welke heffingplichtige categorie (ingezetenen, eigenaren of anderszins zakelijk gerechtigden van ongebouwde onroerende zaken die geen natuurterreinen zijn, eigenaren of anderszins zakelijk gerechtigden van natuurterreinen en eigenaren of anderszins zakelijk gerechtigden van gebouwde onroerende zaken) welk deel van de netto-kosten van het watersysteembeheer moet opbrengen. Uit de begroting van het waterschap vloeit voort hoe hoog de kosten van het watersysteembeheer precies zijn. In beginsel worden alle hierbedoelde kosten tezamen genomen en vervolgens aan de diverse categorieën toegedeeld, zodat elke categorie een deel van de totale kosten draagt. Hierop heeft de wetgever alleen voor verkiezingskosten en voor kosten van heffing en invordering van de watersysteemheffing een uitzondering gemaakt. Op grond van artikel 120, eerste lid, tweede volzin van de Waterschapswet, kan het algemeen bestuur van een waterschap bij de kostentoedelingsverordening bepalen dat deze kosten rechtstreeks aan de betrokken categorieën van heffingplichtigen worden toegerekend. Deze kosten kunnen dus van de totale kosten van het watersysteembeheer worden afgezonderd en rechtstreeks worden ondergebracht bij die categorie/die categorieën die deze kosten veroorzaakt/veroorzaken. </w:t>
      </w:r>
    </w:p>
    <w:p w14:paraId="4D9C99F0" w14:textId="77777777" w:rsidR="00CD4E8A" w:rsidRPr="0005091D" w:rsidRDefault="0005091D" w:rsidP="0005091D">
      <w:pPr>
        <w:rPr>
          <w:szCs w:val="18"/>
          <w:bdr w:val="nil"/>
        </w:rPr>
      </w:pPr>
      <w:r w:rsidRPr="0005091D">
        <w:rPr>
          <w:szCs w:val="18"/>
          <w:bdr w:val="nil"/>
        </w:rPr>
        <w:t> </w:t>
      </w:r>
    </w:p>
    <w:p w14:paraId="0BCA649B" w14:textId="77777777" w:rsidR="00CD4E8A" w:rsidRPr="0005091D" w:rsidRDefault="0005091D" w:rsidP="0005091D">
      <w:pPr>
        <w:rPr>
          <w:szCs w:val="18"/>
          <w:bdr w:val="nil"/>
        </w:rPr>
      </w:pPr>
      <w:r w:rsidRPr="0005091D">
        <w:rPr>
          <w:szCs w:val="18"/>
          <w:bdr w:val="nil"/>
        </w:rPr>
        <w:t xml:space="preserve">Het waterschap kan op grond van artikel 122 van de wet ook gebruik maken van de mogelijkheid om belastingtarieven hoger of lager vast te stellen, oftewel te differentiëren. Omdat tariefdifferentiatie een verfijning op de kostentoedeling is, moet een eventuele keuze voor tariefdifferentiatie in de kostentoedelingsverordening worden geregeld. </w:t>
      </w:r>
    </w:p>
    <w:p w14:paraId="6E824EAB" w14:textId="77777777" w:rsidR="00CD4E8A" w:rsidRPr="0005091D" w:rsidRDefault="0005091D" w:rsidP="0005091D">
      <w:pPr>
        <w:rPr>
          <w:szCs w:val="18"/>
          <w:bdr w:val="nil"/>
        </w:rPr>
      </w:pPr>
      <w:r w:rsidRPr="0005091D">
        <w:rPr>
          <w:szCs w:val="18"/>
          <w:bdr w:val="nil"/>
        </w:rPr>
        <w:t xml:space="preserve">De kostentoedelingsverordening moet ten minste eenmaal in de vijf jaren worden herzien (artikel 120, vijfde lid, Waterschapswet). </w:t>
      </w:r>
    </w:p>
    <w:p w14:paraId="5DF1BE08" w14:textId="77777777" w:rsidR="00CD4E8A" w:rsidRPr="0005091D" w:rsidRDefault="0005091D" w:rsidP="0005091D">
      <w:pPr>
        <w:rPr>
          <w:szCs w:val="18"/>
          <w:bdr w:val="nil"/>
        </w:rPr>
      </w:pPr>
      <w:r w:rsidRPr="0005091D">
        <w:rPr>
          <w:szCs w:val="18"/>
          <w:bdr w:val="nil"/>
        </w:rPr>
        <w:t> </w:t>
      </w:r>
    </w:p>
    <w:p w14:paraId="1E142F25" w14:textId="77777777" w:rsidR="00CD4E8A" w:rsidRPr="0005091D" w:rsidRDefault="0005091D" w:rsidP="0005091D">
      <w:pPr>
        <w:pStyle w:val="Kop3"/>
        <w:spacing w:before="0" w:after="0"/>
        <w:rPr>
          <w:sz w:val="18"/>
          <w:szCs w:val="18"/>
          <w:bdr w:val="nil"/>
        </w:rPr>
      </w:pPr>
      <w:r w:rsidRPr="0005091D">
        <w:rPr>
          <w:sz w:val="18"/>
          <w:szCs w:val="18"/>
          <w:bdr w:val="nil"/>
        </w:rPr>
        <w:t>Kostentoedelingsmethode Delfland wettelijk voorgeschreven</w:t>
      </w:r>
    </w:p>
    <w:p w14:paraId="07616A0C" w14:textId="77777777" w:rsidR="00CD4E8A" w:rsidRPr="0005091D" w:rsidRDefault="0005091D" w:rsidP="0005091D">
      <w:pPr>
        <w:rPr>
          <w:szCs w:val="18"/>
          <w:bdr w:val="nil"/>
        </w:rPr>
      </w:pPr>
      <w:r w:rsidRPr="0005091D">
        <w:rPr>
          <w:szCs w:val="18"/>
          <w:bdr w:val="nil"/>
        </w:rPr>
        <w:t>De kosten van het watersysteembeheer worden aan de belastingplichtige categorieën toegedeeld. Het zijn er vier in totaal, te weten: ingezetenen, eigenaren of anderszins zakelijk gerechtigden van ongebouwde onroerende zaken die geen natuurterrein zijn, eigenaren of anderszins zakelijk gerechtigden van natuurterreinen en eigenaren of anderszins zakelijk gerechtigden</w:t>
      </w:r>
      <w:r w:rsidRPr="0005091D">
        <w:rPr>
          <w:rFonts w:eastAsia="Arial" w:cs="Arial"/>
          <w:color w:val="0000EE"/>
          <w:szCs w:val="18"/>
          <w:u w:val="single"/>
          <w:bdr w:val="nil"/>
        </w:rPr>
        <w:t>[1]</w:t>
      </w:r>
      <w:r w:rsidRPr="0005091D">
        <w:rPr>
          <w:rStyle w:val="Voetnootmarkering"/>
          <w:sz w:val="18"/>
          <w:szCs w:val="18"/>
        </w:rPr>
        <w:footnoteReference w:id="1"/>
      </w:r>
      <w:r w:rsidRPr="0005091D">
        <w:rPr>
          <w:szCs w:val="18"/>
          <w:bdr w:val="nil"/>
        </w:rPr>
        <w:t xml:space="preserve"> van gebouwde onroerende zaken. De wijze waarop de kostentoedeling over deze categorieën plaatsvindt, is in artikel 120 van de Waterschapswet geregeld. De kostentoedelingssystematiek wordt ook wel de methode Delfland genoemd, naar het waterschap dat deze methode heeft ontwikkeld. De methode Delfland is bij de Wet modernisering waterschapsbestel (Stb. 2007, nr. 208) als verplichte kostentoedelingsmethode voorgeschreven. Vóór die tijd werd het al door een aantal waterschappen toegepast. </w:t>
      </w:r>
    </w:p>
    <w:p w14:paraId="3F2E0C66" w14:textId="77777777" w:rsidR="00CD4E8A" w:rsidRPr="0005091D" w:rsidRDefault="0005091D" w:rsidP="0005091D">
      <w:pPr>
        <w:rPr>
          <w:szCs w:val="18"/>
          <w:bdr w:val="nil"/>
        </w:rPr>
      </w:pPr>
      <w:r w:rsidRPr="0005091D">
        <w:rPr>
          <w:szCs w:val="18"/>
          <w:bdr w:val="nil"/>
        </w:rPr>
        <w:t> </w:t>
      </w:r>
    </w:p>
    <w:p w14:paraId="649E8E2D" w14:textId="77777777" w:rsidR="00CD4E8A" w:rsidRPr="0005091D" w:rsidRDefault="0005091D" w:rsidP="0005091D">
      <w:pPr>
        <w:pStyle w:val="Kop3"/>
        <w:spacing w:before="0" w:after="0"/>
        <w:rPr>
          <w:sz w:val="18"/>
          <w:szCs w:val="18"/>
          <w:bdr w:val="nil"/>
        </w:rPr>
      </w:pPr>
      <w:r w:rsidRPr="0005091D">
        <w:rPr>
          <w:sz w:val="18"/>
          <w:szCs w:val="18"/>
          <w:bdr w:val="nil"/>
        </w:rPr>
        <w:t xml:space="preserve">Toedelen van kosten aan de categorie ingezetenen </w:t>
      </w:r>
    </w:p>
    <w:p w14:paraId="31C14E7B" w14:textId="77777777" w:rsidR="00CD4E8A" w:rsidRPr="0005091D" w:rsidRDefault="0005091D" w:rsidP="0005091D">
      <w:pPr>
        <w:rPr>
          <w:szCs w:val="18"/>
          <w:bdr w:val="nil"/>
        </w:rPr>
      </w:pPr>
      <w:r w:rsidRPr="0005091D">
        <w:rPr>
          <w:szCs w:val="18"/>
          <w:bdr w:val="nil"/>
        </w:rPr>
        <w:t>De eerste stap in het kostentoedelingsproces is het toedelen van kosten aan de categorie ingezetenen. Dit gebeurt aan de hand van de gemiddelde inwonerdichtheid per vierkante kilometer in het gebied van het waterschap. De toedeling is als volgt:</w:t>
      </w:r>
    </w:p>
    <w:p w14:paraId="5FECA15E" w14:textId="77777777" w:rsidR="00CD4E8A" w:rsidRPr="0005091D" w:rsidRDefault="0005091D" w:rsidP="0005091D">
      <w:pPr>
        <w:ind w:left="360" w:hanging="360"/>
        <w:rPr>
          <w:rFonts w:eastAsia="Symbol" w:cs="Symbol"/>
          <w:szCs w:val="18"/>
          <w:bdr w:val="nil"/>
        </w:rPr>
      </w:pPr>
      <w:r w:rsidRPr="0005091D">
        <w:rPr>
          <w:rFonts w:eastAsia="Symbol" w:cs="Symbol"/>
          <w:szCs w:val="18"/>
          <w:bdr w:val="nil"/>
        </w:rPr>
        <w:t>·</w:t>
      </w:r>
      <w:r w:rsidRPr="0005091D">
        <w:rPr>
          <w:rFonts w:eastAsia="Times New Roman" w:cs="Times New Roman"/>
          <w:szCs w:val="18"/>
          <w:bdr w:val="nil"/>
        </w:rPr>
        <w:t xml:space="preserve">         </w:t>
      </w:r>
      <w:r w:rsidRPr="0005091D">
        <w:rPr>
          <w:szCs w:val="18"/>
          <w:bdr w:val="nil"/>
        </w:rPr>
        <w:t>bij een gemiddeld aantal inwoners van 500 of minder per vierkante kilometer, bedraagt het toedelingspercentage minimaal 20% en maximaal 30%;</w:t>
      </w:r>
    </w:p>
    <w:p w14:paraId="13F78771" w14:textId="77777777" w:rsidR="00CD4E8A" w:rsidRPr="0005091D" w:rsidRDefault="0005091D" w:rsidP="0005091D">
      <w:pPr>
        <w:ind w:left="360" w:hanging="360"/>
        <w:rPr>
          <w:rFonts w:eastAsia="Symbol" w:cs="Symbol"/>
          <w:szCs w:val="18"/>
          <w:bdr w:val="nil"/>
        </w:rPr>
      </w:pPr>
      <w:r w:rsidRPr="0005091D">
        <w:rPr>
          <w:rFonts w:eastAsia="Symbol" w:cs="Symbol"/>
          <w:szCs w:val="18"/>
          <w:bdr w:val="nil"/>
        </w:rPr>
        <w:t>·</w:t>
      </w:r>
      <w:r w:rsidRPr="0005091D">
        <w:rPr>
          <w:rFonts w:eastAsia="Times New Roman" w:cs="Times New Roman"/>
          <w:szCs w:val="18"/>
          <w:bdr w:val="nil"/>
        </w:rPr>
        <w:t xml:space="preserve">         </w:t>
      </w:r>
      <w:r w:rsidRPr="0005091D">
        <w:rPr>
          <w:szCs w:val="18"/>
          <w:bdr w:val="nil"/>
        </w:rPr>
        <w:t xml:space="preserve">bij een gemiddeld aantal inwoners van meer dan 500 maar niet meer dan 1000 per vierkante kilometer, bedraagt het toedelingspercentage minimaal 31% en maximaal 40%; </w:t>
      </w:r>
    </w:p>
    <w:p w14:paraId="1A13A9EF" w14:textId="77777777" w:rsidR="00CD4E8A" w:rsidRPr="0005091D" w:rsidRDefault="0005091D" w:rsidP="0005091D">
      <w:pPr>
        <w:ind w:left="360" w:hanging="360"/>
        <w:rPr>
          <w:rFonts w:eastAsia="Symbol" w:cs="Symbol"/>
          <w:szCs w:val="18"/>
          <w:bdr w:val="nil"/>
        </w:rPr>
      </w:pPr>
      <w:r w:rsidRPr="0005091D">
        <w:rPr>
          <w:rFonts w:eastAsia="Symbol" w:cs="Symbol"/>
          <w:szCs w:val="18"/>
          <w:bdr w:val="nil"/>
        </w:rPr>
        <w:t>·</w:t>
      </w:r>
      <w:r w:rsidRPr="0005091D">
        <w:rPr>
          <w:rFonts w:eastAsia="Times New Roman" w:cs="Times New Roman"/>
          <w:szCs w:val="18"/>
          <w:bdr w:val="nil"/>
        </w:rPr>
        <w:t xml:space="preserve">         </w:t>
      </w:r>
      <w:r w:rsidRPr="0005091D">
        <w:rPr>
          <w:szCs w:val="18"/>
          <w:bdr w:val="nil"/>
        </w:rPr>
        <w:t xml:space="preserve">bij een gemiddeld aantal inwoners van meer dan 1000 per vierkante kilometer, bedraagt het toedelingspercentage minimaal 41% en maximaal 50%. </w:t>
      </w:r>
    </w:p>
    <w:p w14:paraId="7F6AEBEB" w14:textId="77777777" w:rsidR="00CD4E8A" w:rsidRPr="0005091D" w:rsidRDefault="0005091D" w:rsidP="0005091D">
      <w:pPr>
        <w:rPr>
          <w:szCs w:val="18"/>
          <w:bdr w:val="nil"/>
        </w:rPr>
      </w:pPr>
      <w:r w:rsidRPr="0005091D">
        <w:rPr>
          <w:szCs w:val="18"/>
          <w:bdr w:val="nil"/>
        </w:rPr>
        <w:t xml:space="preserve">Het behoort tot de bestuurlijke vrijheid van het waterschap om binnen de bandbreedte te bepalen wat het exacte ingezetenenaandeel wordt. </w:t>
      </w:r>
    </w:p>
    <w:p w14:paraId="43E99C1E" w14:textId="77777777" w:rsidR="00CD4E8A" w:rsidRPr="0005091D" w:rsidRDefault="0005091D" w:rsidP="0005091D">
      <w:pPr>
        <w:rPr>
          <w:szCs w:val="18"/>
          <w:bdr w:val="nil"/>
        </w:rPr>
      </w:pPr>
      <w:r w:rsidRPr="0005091D">
        <w:rPr>
          <w:szCs w:val="18"/>
          <w:bdr w:val="nil"/>
        </w:rPr>
        <w:t> </w:t>
      </w:r>
    </w:p>
    <w:p w14:paraId="74170D93" w14:textId="77777777" w:rsidR="00CD4E8A" w:rsidRPr="0005091D" w:rsidRDefault="0005091D" w:rsidP="0005091D">
      <w:pPr>
        <w:pStyle w:val="Kop3"/>
        <w:spacing w:before="0" w:after="0"/>
        <w:rPr>
          <w:sz w:val="18"/>
          <w:szCs w:val="18"/>
          <w:bdr w:val="nil"/>
        </w:rPr>
      </w:pPr>
      <w:r w:rsidRPr="0005091D">
        <w:rPr>
          <w:sz w:val="18"/>
          <w:szCs w:val="18"/>
          <w:bdr w:val="nil"/>
        </w:rPr>
        <w:lastRenderedPageBreak/>
        <w:t>Ophogen ingezetenenaandeel</w:t>
      </w:r>
    </w:p>
    <w:p w14:paraId="3370C913" w14:textId="77777777" w:rsidR="00CD4E8A" w:rsidRPr="0005091D" w:rsidRDefault="0005091D" w:rsidP="0005091D">
      <w:pPr>
        <w:rPr>
          <w:szCs w:val="18"/>
          <w:bdr w:val="nil"/>
        </w:rPr>
      </w:pPr>
      <w:r w:rsidRPr="0005091D">
        <w:rPr>
          <w:szCs w:val="18"/>
          <w:bdr w:val="nil"/>
        </w:rPr>
        <w:t xml:space="preserve">Het algemeen bestuur van een waterschap kan de maximale kostentoedelingspercentages van 30%, 40% en 50% die hiervóór zijn genoemd, met 10% verhogen. Dit is in het derde lid van artikel 120 geregeld. Het artikellid is via een amendement (TK 30601, nr.18) aan de Waterschapswet toegevoegd. Uit de toelichting bij het amendement blijkt dat voor ophoging van het ingezetenenaandeel sprake moet zijn van bijzondere omstandigheden. Als voorbeeld daarvan noemt het amendement twee situaties, te weten de situatie waarin in het gebied van het waterschap een relatief groot aantal natuurterreinen voorkomt en de situatie waarin in het gebied van het waterschap sprake is van een zeer grote inwonerdichtheid. Er wordt niet nader aangegeven wat onder ‘een relatief groot aantal natuurterreinen’ en ‘een zeer grote inwonerdichtheid’ moet worden verstaan. </w:t>
      </w:r>
    </w:p>
    <w:p w14:paraId="08DE9D5F" w14:textId="77777777" w:rsidR="00CD4E8A" w:rsidRPr="0005091D" w:rsidRDefault="0005091D" w:rsidP="0005091D">
      <w:pPr>
        <w:rPr>
          <w:szCs w:val="18"/>
          <w:bdr w:val="nil"/>
        </w:rPr>
      </w:pPr>
      <w:r w:rsidRPr="0005091D">
        <w:rPr>
          <w:szCs w:val="18"/>
          <w:bdr w:val="nil"/>
        </w:rPr>
        <w:t xml:space="preserve">In een uitspraak van 28 juli 2010, LJN: BN2669, heeft de Afdeling Bestuursrechtspraak van de Raad van State (hierna: de Afdeling) het bestaan van de zojuist genoemde bestuurlijke vrijheid bevestigd en verduidelijkt. De Afdeling heeft in deze uitspraak vastgesteld dat in de Waterschapswet geen beperkende voorwaarden zijn verbonden aan de aan de waterschappen toegekende bevoegdheid om het kostenaandeel voor de ingezetenen met maximaal 10% extra te verhogen. De Afdeling kent dan ook geen betekenis toe aan de in de toelichting op het amendement genoemde ‘bijzondere omstandigheden’ en gaat ook voorbij aan de voorbeelden die in de wetsgeschiedenis zijn genoemd. </w:t>
      </w:r>
    </w:p>
    <w:p w14:paraId="5F47F337" w14:textId="77777777" w:rsidR="00CD4E8A" w:rsidRPr="0005091D" w:rsidRDefault="0005091D" w:rsidP="0005091D">
      <w:pPr>
        <w:rPr>
          <w:szCs w:val="18"/>
          <w:bdr w:val="nil"/>
        </w:rPr>
      </w:pPr>
      <w:r w:rsidRPr="0005091D">
        <w:rPr>
          <w:szCs w:val="18"/>
          <w:bdr w:val="nil"/>
        </w:rPr>
        <w:t xml:space="preserve">De bestuurlijke relevantie van deze uitspraak is dat waterschappen een vrij grote autonomie hebben als het om het verhogen van het kostenaandeel voor de ingezetenen gaat. Waterschappen zullen de eventuele verhoging uiteraard wel altijd moeten motiveren, maar de Raad van State stelt aan de motivering geen al te zware eisen. </w:t>
      </w:r>
    </w:p>
    <w:p w14:paraId="664A7D8A" w14:textId="77777777" w:rsidR="00CD4E8A" w:rsidRPr="0005091D" w:rsidRDefault="0005091D" w:rsidP="0005091D">
      <w:pPr>
        <w:rPr>
          <w:szCs w:val="18"/>
          <w:bdr w:val="nil"/>
        </w:rPr>
      </w:pPr>
      <w:r w:rsidRPr="0005091D">
        <w:rPr>
          <w:szCs w:val="18"/>
          <w:bdr w:val="nil"/>
        </w:rPr>
        <w:t> </w:t>
      </w:r>
    </w:p>
    <w:p w14:paraId="52BEFAF0" w14:textId="77777777" w:rsidR="00CD4E8A" w:rsidRPr="0005091D" w:rsidRDefault="0005091D" w:rsidP="0005091D">
      <w:pPr>
        <w:pStyle w:val="Kop3"/>
        <w:spacing w:before="0" w:after="0"/>
        <w:rPr>
          <w:sz w:val="18"/>
          <w:szCs w:val="18"/>
          <w:bdr w:val="nil"/>
        </w:rPr>
      </w:pPr>
      <w:r w:rsidRPr="0005091D">
        <w:rPr>
          <w:sz w:val="18"/>
          <w:szCs w:val="18"/>
          <w:bdr w:val="nil"/>
        </w:rPr>
        <w:t>Toedelen van de resterende kosten van het watersysteembeheer aan de overige categorieën</w:t>
      </w:r>
    </w:p>
    <w:p w14:paraId="03ADA0EF" w14:textId="77777777" w:rsidR="00CD4E8A" w:rsidRPr="0005091D" w:rsidRDefault="0005091D" w:rsidP="0005091D">
      <w:pPr>
        <w:rPr>
          <w:szCs w:val="18"/>
          <w:bdr w:val="nil"/>
        </w:rPr>
      </w:pPr>
      <w:r w:rsidRPr="0005091D">
        <w:rPr>
          <w:szCs w:val="18"/>
          <w:bdr w:val="nil"/>
        </w:rPr>
        <w:t xml:space="preserve">Nadat het kostenaandeel voor de ingezetenen is bepaald, worden de resterende kosten van de taakuitoefening aan de categorieën ongebouwd niet zijnde natuurterreinen, natuurterreinen en gebouwd toegedeeld. Deze toedeling geschiedt ingevolge artikel 120, vierde lid, van de Waterschapswet, op basis van de waarde van de onroerende zaken in het economische verkeer. In het Waterschapsbesluit zijn over de waardebepaling nadere regels gegeven. </w:t>
      </w:r>
    </w:p>
    <w:p w14:paraId="370398D6" w14:textId="77777777" w:rsidR="00CD4E8A" w:rsidRPr="0005091D" w:rsidRDefault="0005091D" w:rsidP="0005091D">
      <w:pPr>
        <w:rPr>
          <w:szCs w:val="18"/>
          <w:bdr w:val="nil"/>
        </w:rPr>
      </w:pPr>
      <w:r w:rsidRPr="0005091D">
        <w:rPr>
          <w:szCs w:val="18"/>
          <w:bdr w:val="nil"/>
        </w:rPr>
        <w:t> </w:t>
      </w:r>
    </w:p>
    <w:p w14:paraId="200B236F" w14:textId="77777777" w:rsidR="00CD4E8A" w:rsidRPr="0005091D" w:rsidRDefault="0005091D" w:rsidP="0005091D">
      <w:pPr>
        <w:pStyle w:val="Kop2"/>
        <w:spacing w:before="0" w:after="0"/>
        <w:rPr>
          <w:bCs/>
          <w:sz w:val="18"/>
          <w:szCs w:val="18"/>
          <w:bdr w:val="nil"/>
        </w:rPr>
      </w:pPr>
      <w:r w:rsidRPr="0005091D">
        <w:rPr>
          <w:bCs/>
          <w:sz w:val="18"/>
          <w:szCs w:val="18"/>
          <w:bdr w:val="nil"/>
        </w:rPr>
        <w:t>Waardebepaling en waardepeildatum</w:t>
      </w:r>
    </w:p>
    <w:p w14:paraId="665B1D0F" w14:textId="77777777" w:rsidR="00CD4E8A" w:rsidRPr="0005091D" w:rsidRDefault="0005091D" w:rsidP="0005091D">
      <w:pPr>
        <w:rPr>
          <w:szCs w:val="18"/>
          <w:bdr w:val="nil"/>
        </w:rPr>
      </w:pPr>
      <w:r w:rsidRPr="0005091D">
        <w:rPr>
          <w:szCs w:val="18"/>
          <w:bdr w:val="nil"/>
        </w:rPr>
        <w:t xml:space="preserve">De waarde van de onroerende zaken moet worden bepaald naar de hoedanigheid en de staat waarin de onroerende zaken zich op de waardepeildatum bevinden. In artikel 6.10, eerste lid, van het Waterschapsbesluit (Besluit van de minister van Verkeer en Waterstaat van 29 november 2007, Stb. 2007, 497) is dit voor natuurterreinen en voor ongebouwde onroerende zaken die geen natuurterreinen zijn, uitdrukkelijk bepaald. Voor gebouwde onroerende zaken bevat het Waterschapsbesluit een dergelijke expliciete regeling niet. Dit is ook niet nodig, omdat voor de waardebepaling van de categorie gebouwd bij de Wet WOZ wordt aangesloten. In deze wet is al geregeld dat de waarde van de gebouwde onroerende zaken naar de hoedanigheid en de staat van de onroerende zaken op de waardepeildatum wordt bepaald. </w:t>
      </w:r>
    </w:p>
    <w:p w14:paraId="5076AA15" w14:textId="77777777" w:rsidR="00CD4E8A" w:rsidRPr="0005091D" w:rsidRDefault="0005091D" w:rsidP="0005091D">
      <w:pPr>
        <w:rPr>
          <w:szCs w:val="18"/>
          <w:bdr w:val="nil"/>
        </w:rPr>
      </w:pPr>
      <w:r w:rsidRPr="0005091D">
        <w:rPr>
          <w:szCs w:val="18"/>
          <w:bdr w:val="nil"/>
        </w:rPr>
        <w:t> </w:t>
      </w:r>
    </w:p>
    <w:p w14:paraId="6C9B9F9A" w14:textId="287DD2DF" w:rsidR="00CD4E8A" w:rsidRPr="0005091D" w:rsidRDefault="0005091D" w:rsidP="008A23CC">
      <w:pPr>
        <w:rPr>
          <w:szCs w:val="18"/>
          <w:bdr w:val="nil"/>
        </w:rPr>
      </w:pPr>
      <w:r w:rsidRPr="0005091D">
        <w:rPr>
          <w:szCs w:val="18"/>
          <w:bdr w:val="nil"/>
        </w:rPr>
        <w:t xml:space="preserve">Ingevolge artikel 6.11, eerste lid, van het Waterschapsbesluit ligt de waardepeildatum maximaal twee jaar voor het begin van het eerste kalenderjaar waarop de kostentoedelingsverordening betrekking heeft. </w:t>
      </w:r>
    </w:p>
    <w:p w14:paraId="2946CC36" w14:textId="3D2C6C87" w:rsidR="00CD4E8A" w:rsidRPr="0005091D" w:rsidRDefault="0005091D" w:rsidP="0005091D">
      <w:pPr>
        <w:rPr>
          <w:szCs w:val="18"/>
          <w:bdr w:val="nil"/>
        </w:rPr>
      </w:pPr>
      <w:r w:rsidRPr="0005091D">
        <w:rPr>
          <w:szCs w:val="18"/>
          <w:bdr w:val="nil"/>
        </w:rPr>
        <w:t xml:space="preserve">In het proces van waardebepaling wordt geen rekening gehouden met wijzigingen die zich in de staat of de hoedanigheid van de onroerende zaken hebben voorgedaan of nog zullen voordoen tussen de </w:t>
      </w:r>
      <w:proofErr w:type="spellStart"/>
      <w:r w:rsidRPr="0005091D">
        <w:rPr>
          <w:szCs w:val="18"/>
          <w:bdr w:val="nil"/>
        </w:rPr>
        <w:t>waardepeildatum</w:t>
      </w:r>
      <w:proofErr w:type="spellEnd"/>
      <w:r w:rsidRPr="0005091D">
        <w:rPr>
          <w:szCs w:val="18"/>
          <w:bdr w:val="nil"/>
        </w:rPr>
        <w:t xml:space="preserve"> en het begin van het eerste belastingjaar waarop de kostentoedelingsverordening betrekking heeft (in dit geval 1-1-202</w:t>
      </w:r>
      <w:r w:rsidR="008A23CC">
        <w:rPr>
          <w:szCs w:val="18"/>
          <w:bdr w:val="nil"/>
        </w:rPr>
        <w:t>4</w:t>
      </w:r>
      <w:r w:rsidRPr="0005091D">
        <w:rPr>
          <w:szCs w:val="18"/>
          <w:bdr w:val="nil"/>
        </w:rPr>
        <w:t>). Zo zullen bouwpercelen waarop na de waardepeildatum gebouwd is, voor de kostentoedeling als ongebouwde onroerende zaken worden aangemerkt en zal landbouwgrond die na de waardepeildatum is omgevormd tot natuur of bouwgrond, nog wel als landbouwgrond in de waardebepaling worden meegenomen.</w:t>
      </w:r>
    </w:p>
    <w:p w14:paraId="1C14F170" w14:textId="77777777" w:rsidR="00CD4E8A" w:rsidRPr="0005091D" w:rsidRDefault="0005091D" w:rsidP="0005091D">
      <w:pPr>
        <w:rPr>
          <w:szCs w:val="18"/>
          <w:bdr w:val="nil"/>
        </w:rPr>
      </w:pPr>
      <w:r w:rsidRPr="0005091D">
        <w:rPr>
          <w:szCs w:val="18"/>
          <w:bdr w:val="nil"/>
        </w:rPr>
        <w:t> </w:t>
      </w:r>
    </w:p>
    <w:p w14:paraId="6A7F038B" w14:textId="77777777" w:rsidR="00CD4E8A" w:rsidRPr="0005091D" w:rsidRDefault="0005091D" w:rsidP="0005091D">
      <w:pPr>
        <w:pStyle w:val="Kop3"/>
        <w:spacing w:before="0" w:after="0"/>
        <w:rPr>
          <w:sz w:val="18"/>
          <w:szCs w:val="18"/>
          <w:bdr w:val="nil"/>
        </w:rPr>
      </w:pPr>
      <w:r w:rsidRPr="0005091D">
        <w:rPr>
          <w:sz w:val="18"/>
          <w:szCs w:val="18"/>
          <w:bdr w:val="nil"/>
        </w:rPr>
        <w:t>Natuurterreinen</w:t>
      </w:r>
    </w:p>
    <w:p w14:paraId="25B7CBA2" w14:textId="77777777" w:rsidR="00CD4E8A" w:rsidRPr="0005091D" w:rsidRDefault="0005091D" w:rsidP="0005091D">
      <w:pPr>
        <w:pStyle w:val="Kop3"/>
        <w:spacing w:before="0" w:after="0"/>
        <w:rPr>
          <w:b w:val="0"/>
          <w:bCs w:val="0"/>
          <w:sz w:val="18"/>
          <w:szCs w:val="18"/>
          <w:bdr w:val="nil"/>
        </w:rPr>
      </w:pPr>
      <w:r w:rsidRPr="0005091D">
        <w:rPr>
          <w:b w:val="0"/>
          <w:bCs w:val="0"/>
          <w:sz w:val="18"/>
          <w:szCs w:val="18"/>
          <w:bdr w:val="nil"/>
        </w:rPr>
        <w:t>Natuurterreinen vormen voor de kostentoedeling en de belastingheffing een aparte categorie. Ingevolge artikel 116, onder c, van de Waterschapswet is een natuurterrein een ongebouwde onroerende zaak, waarvan de inrichting en het beheer geheel of nagenoeg geheel en duurzaam is afgestemd op het behoud en de ontwikkeling van natuur. De feitelijke situatie (en niet de toekomstige situatie of een situatie volgens het bestemmingsplan) bepaalt dus of sprake is van een natuurterrein. Bossen, al dan niet bedrijfsmatig geëxploiteerd, en open wateren worden ook als natuurterreinen aangemerkt.</w:t>
      </w:r>
      <w:r w:rsidRPr="0005091D">
        <w:rPr>
          <w:sz w:val="18"/>
          <w:szCs w:val="18"/>
          <w:bdr w:val="nil"/>
        </w:rPr>
        <w:t xml:space="preserve"> </w:t>
      </w:r>
      <w:r w:rsidRPr="0005091D">
        <w:rPr>
          <w:b w:val="0"/>
          <w:bCs w:val="0"/>
          <w:sz w:val="18"/>
          <w:szCs w:val="18"/>
          <w:bdr w:val="nil"/>
        </w:rPr>
        <w:t>Voorwaarde is dat deze objecten</w:t>
      </w:r>
      <w:r w:rsidRPr="0005091D">
        <w:rPr>
          <w:sz w:val="18"/>
          <w:szCs w:val="18"/>
          <w:bdr w:val="nil"/>
        </w:rPr>
        <w:t xml:space="preserve"> </w:t>
      </w:r>
      <w:r w:rsidRPr="0005091D">
        <w:rPr>
          <w:b w:val="0"/>
          <w:bCs w:val="0"/>
          <w:sz w:val="18"/>
          <w:szCs w:val="18"/>
          <w:bdr w:val="nil"/>
        </w:rPr>
        <w:t>een</w:t>
      </w:r>
      <w:r w:rsidRPr="0005091D">
        <w:rPr>
          <w:sz w:val="18"/>
          <w:szCs w:val="18"/>
          <w:bdr w:val="nil"/>
        </w:rPr>
        <w:t xml:space="preserve"> </w:t>
      </w:r>
      <w:r w:rsidRPr="0005091D">
        <w:rPr>
          <w:b w:val="0"/>
          <w:bCs w:val="0"/>
          <w:sz w:val="18"/>
          <w:szCs w:val="18"/>
          <w:bdr w:val="nil"/>
        </w:rPr>
        <w:t xml:space="preserve">oppervlakte van ten minste één hectare hebben. </w:t>
      </w:r>
    </w:p>
    <w:p w14:paraId="170BBB0E" w14:textId="77777777" w:rsidR="00CD4E8A" w:rsidRPr="0005091D" w:rsidRDefault="0005091D" w:rsidP="0005091D">
      <w:pPr>
        <w:rPr>
          <w:szCs w:val="18"/>
          <w:bdr w:val="nil"/>
        </w:rPr>
      </w:pPr>
      <w:r w:rsidRPr="0005091D">
        <w:rPr>
          <w:szCs w:val="18"/>
          <w:bdr w:val="nil"/>
        </w:rPr>
        <w:t xml:space="preserve">Op het begrip natuurterreinen wordt in het artikelsgewijs deel van deze toelichting nader ingegaan.  </w:t>
      </w:r>
    </w:p>
    <w:p w14:paraId="3813BA37" w14:textId="77777777" w:rsidR="00CD4E8A" w:rsidRPr="0005091D" w:rsidRDefault="0005091D" w:rsidP="0005091D">
      <w:pPr>
        <w:rPr>
          <w:szCs w:val="18"/>
          <w:bdr w:val="nil"/>
        </w:rPr>
      </w:pPr>
      <w:r w:rsidRPr="0005091D">
        <w:rPr>
          <w:szCs w:val="18"/>
          <w:bdr w:val="nil"/>
        </w:rPr>
        <w:t> </w:t>
      </w:r>
    </w:p>
    <w:p w14:paraId="67DB974F" w14:textId="77777777" w:rsidR="00CD4E8A" w:rsidRPr="0005091D" w:rsidRDefault="0005091D" w:rsidP="0005091D">
      <w:pPr>
        <w:pStyle w:val="Kop3"/>
        <w:spacing w:before="0" w:after="0"/>
        <w:rPr>
          <w:sz w:val="18"/>
          <w:szCs w:val="18"/>
          <w:bdr w:val="nil"/>
        </w:rPr>
      </w:pPr>
      <w:r w:rsidRPr="0005091D">
        <w:rPr>
          <w:sz w:val="18"/>
          <w:szCs w:val="18"/>
          <w:bdr w:val="nil"/>
        </w:rPr>
        <w:t> De watersysteemtaak</w:t>
      </w:r>
    </w:p>
    <w:p w14:paraId="6E48AEE7" w14:textId="77777777" w:rsidR="00CD4E8A" w:rsidRPr="0005091D" w:rsidRDefault="0005091D" w:rsidP="0005091D">
      <w:pPr>
        <w:rPr>
          <w:szCs w:val="18"/>
          <w:bdr w:val="nil"/>
        </w:rPr>
      </w:pPr>
      <w:r w:rsidRPr="0005091D">
        <w:rPr>
          <w:szCs w:val="18"/>
          <w:bdr w:val="nil"/>
        </w:rPr>
        <w:t xml:space="preserve">In artikel 1, tweede lid, van de Waterschapswet wordt “de zorg voor het watersysteem” als één van de hoofdtaken van het waterschap vermeld. De zorg voor het watersysteem omvat de zorg voor de waterkering </w:t>
      </w:r>
      <w:r w:rsidRPr="0005091D">
        <w:rPr>
          <w:szCs w:val="18"/>
          <w:bdr w:val="nil"/>
        </w:rPr>
        <w:lastRenderedPageBreak/>
        <w:t xml:space="preserve">en de zorg voor de waterhuishouding, waaronder ook de zorg voor de waterkwaliteit. Met het gebruik van de term “zorg voor het watersysteem” wordt benadrukt dat er een nauwe onderlinge samenhang is en dat de verschillende aspecten van de zorg voor het watersysteem als één integrale taak moeten worden uitgevoerd. </w:t>
      </w:r>
    </w:p>
    <w:p w14:paraId="756AC1C3" w14:textId="77777777" w:rsidR="00CD4E8A" w:rsidRPr="0005091D" w:rsidRDefault="0005091D" w:rsidP="0005091D">
      <w:pPr>
        <w:rPr>
          <w:szCs w:val="18"/>
          <w:bdr w:val="nil"/>
        </w:rPr>
      </w:pPr>
      <w:r w:rsidRPr="0005091D">
        <w:rPr>
          <w:szCs w:val="18"/>
          <w:bdr w:val="nil"/>
        </w:rPr>
        <w:t xml:space="preserve">In dezelfde bepaling van de Waterschapwet wordt de zorg voor het zuiveren van afvalwater op de voet van artikel 3.4 van de Waterwet als andere hoofdtaak van het waterschap genoemd. Ook is bepaald dat de zorg voor een of meer andere waterstaatsaangelegenheden aan de waterschappen kan zijn of worden opgedragen. De uitvoering van de wegen- en de vaarwegentaak door een aantal waterschappen is een uiting van dit laatste. In 2011 hebben de provincies de muskus- en beverrattenbestrijding aan de waterschappen overgedragen. Het muskus- en beverrattenbeheer is op grond van artikel 1, derde lid, van de Waterschapswet onderdeel van de watersysteemzorg.  </w:t>
      </w:r>
    </w:p>
    <w:p w14:paraId="1B983AC5" w14:textId="77777777" w:rsidR="00CD4E8A" w:rsidRPr="0005091D" w:rsidRDefault="0005091D" w:rsidP="0005091D">
      <w:pPr>
        <w:rPr>
          <w:szCs w:val="18"/>
          <w:bdr w:val="nil"/>
        </w:rPr>
      </w:pPr>
      <w:r w:rsidRPr="0005091D">
        <w:rPr>
          <w:szCs w:val="18"/>
          <w:bdr w:val="nil"/>
        </w:rPr>
        <w:t> </w:t>
      </w:r>
    </w:p>
    <w:p w14:paraId="3A1364D1" w14:textId="77777777" w:rsidR="00CD4E8A" w:rsidRPr="0005091D" w:rsidRDefault="0005091D" w:rsidP="0005091D">
      <w:pPr>
        <w:rPr>
          <w:szCs w:val="18"/>
          <w:bdr w:val="nil"/>
        </w:rPr>
      </w:pPr>
      <w:r w:rsidRPr="0005091D">
        <w:rPr>
          <w:szCs w:val="18"/>
          <w:bdr w:val="nil"/>
        </w:rPr>
        <w:t>De zorg voor het watersysteem wordt gezien als één samenhangende taak die het waterschap, uitzonderingen daargelaten, in zijn gehele beheersgebied uitoefent</w:t>
      </w:r>
      <w:r w:rsidRPr="0005091D">
        <w:rPr>
          <w:rFonts w:eastAsia="Arial" w:cs="Arial"/>
          <w:color w:val="0000EE"/>
          <w:szCs w:val="18"/>
          <w:u w:val="single"/>
          <w:bdr w:val="nil"/>
        </w:rPr>
        <w:t>[2]</w:t>
      </w:r>
      <w:r w:rsidRPr="0005091D">
        <w:rPr>
          <w:rStyle w:val="Voetnootmarkering"/>
          <w:sz w:val="18"/>
          <w:szCs w:val="18"/>
        </w:rPr>
        <w:footnoteReference w:id="2"/>
      </w:r>
      <w:r w:rsidRPr="0005091D">
        <w:rPr>
          <w:szCs w:val="18"/>
          <w:bdr w:val="nil"/>
        </w:rPr>
        <w:t xml:space="preserve">. Alhoewel de wetgever dit niet met zoveel woorden aangeeft, moet aangenomen worden dat de uitzonderingen gevallen betreffen waarin andere overheden dan de waterschappen met taken ter zake zijn belast. Het kan dus voorkomen dat er in het waterschapsgebied gebieden voorkomen ter zake waarvan het waterschap niet de zorg voor het watersysteem heeft, omdat deze zorg al bij een andere publiekrechtelijke overheid berust. Hiervan was bijvoorbeeld sprake in de casus die tot het arrest van de Hoge Raad van 22 juni 2018, ECLI:NL:HR:2018:959 (arrest over de Waddenzee) heeft geleid. </w:t>
      </w:r>
    </w:p>
    <w:p w14:paraId="150F8A2F" w14:textId="77777777" w:rsidR="00CD4E8A" w:rsidRPr="0005091D" w:rsidRDefault="0005091D" w:rsidP="0005091D">
      <w:pPr>
        <w:rPr>
          <w:szCs w:val="18"/>
          <w:bdr w:val="nil"/>
        </w:rPr>
      </w:pPr>
      <w:r w:rsidRPr="0005091D">
        <w:rPr>
          <w:szCs w:val="18"/>
          <w:bdr w:val="nil"/>
        </w:rPr>
        <w:t> </w:t>
      </w:r>
    </w:p>
    <w:p w14:paraId="1034E1E7" w14:textId="77777777" w:rsidR="00CD4E8A" w:rsidRPr="0005091D" w:rsidRDefault="0005091D" w:rsidP="0005091D">
      <w:pPr>
        <w:pStyle w:val="Kop3"/>
        <w:spacing w:before="0" w:after="0"/>
        <w:rPr>
          <w:sz w:val="18"/>
          <w:szCs w:val="18"/>
          <w:bdr w:val="nil"/>
        </w:rPr>
      </w:pPr>
      <w:r w:rsidRPr="0005091D">
        <w:rPr>
          <w:sz w:val="18"/>
          <w:szCs w:val="18"/>
          <w:bdr w:val="nil"/>
        </w:rPr>
        <w:t>Relatie met de begroting van het waterschap</w:t>
      </w:r>
    </w:p>
    <w:p w14:paraId="57CB1091" w14:textId="77777777" w:rsidR="00CD4E8A" w:rsidRPr="0005091D" w:rsidRDefault="0005091D" w:rsidP="0005091D">
      <w:pPr>
        <w:rPr>
          <w:szCs w:val="18"/>
          <w:bdr w:val="nil"/>
        </w:rPr>
      </w:pPr>
      <w:r w:rsidRPr="0005091D">
        <w:rPr>
          <w:szCs w:val="18"/>
          <w:bdr w:val="nil"/>
        </w:rPr>
        <w:t xml:space="preserve">In het traject van belastingheffing (kostentoedeling-tariefbepaling-aanslagoplegging-heffing-inning en invordering) zijn de kosten van de watersysteemtaak van het waterschap bepalend. Deze kosten worden in de begroting van het waterschap geraamd en in de jaarverslaggeving verantwoord. Gelet op het belang van de belastingheffing voor de waterschappen en gelet op het feit dat inzicht moet bestaan in de lasten voor de belastingplichtigen, vormt een specificatie van de bedragen die uiteindelijk tot lasten van de belastingplichtigen leiden, een apart onderdeel van de begroting (de begroting naar kostendragers). Een en ander is in de verslaggevingsvoorschriften van het Waterschapsbesluit vastgelegd. Het gaat in deze modelverordening om de kostendrager watersysteembeheer. </w:t>
      </w:r>
    </w:p>
    <w:p w14:paraId="2447669D" w14:textId="77777777" w:rsidR="00CD4E8A" w:rsidRPr="0005091D" w:rsidRDefault="0005091D" w:rsidP="0005091D">
      <w:pPr>
        <w:rPr>
          <w:szCs w:val="18"/>
          <w:bdr w:val="nil"/>
        </w:rPr>
      </w:pPr>
      <w:r w:rsidRPr="0005091D">
        <w:rPr>
          <w:szCs w:val="18"/>
          <w:bdr w:val="nil"/>
        </w:rPr>
        <w:t>De verslaggevingsvoorschriften geven eveneens aan hoe de totstandkoming van het te heffen bedrag inzichtelijk moet worden gemaakt in de begroting naar kostendragers. In dit geval zijn de netto-kosten van de watersysteemtaak van de waterschappen het vertrekpunt. Bij de netto-kosten worden opgeteld het bedrag voor onvoorzien en de bedragen die voor kwijtschelding en oninbaarverklaring worden geraamd. Afgetrokken worden de verwachte dividenden en overige algemene opbrengsten die aan de watersysteemtaak worden toegerekend (tot deze laatste opbrengsten behoort ook de verwachte heffingsopbrengst van de verontreinigingsheffing). Deze berekening leidt tot een saldo, het ‘begrote resultaat’ van de watersysteemtaak. Daarna wordt aangegeven hoe het begrote resultaat zal worden gedekt of bestemd. In de regel wordt er eerst onttrokken of toegevoegd aan reserves en ontstaat daarna het bedrag dat het waterschap door middel van belastingheffing zal moeten ontvangen. Dit laatste bedrag is het startpunt voor de kostentoedeling.</w:t>
      </w:r>
    </w:p>
    <w:p w14:paraId="62386A01" w14:textId="77777777" w:rsidR="00CD4E8A" w:rsidRPr="0005091D" w:rsidRDefault="0005091D" w:rsidP="0005091D">
      <w:pPr>
        <w:rPr>
          <w:szCs w:val="18"/>
          <w:bdr w:val="nil"/>
        </w:rPr>
      </w:pPr>
      <w:r w:rsidRPr="0005091D">
        <w:rPr>
          <w:szCs w:val="18"/>
          <w:bdr w:val="nil"/>
        </w:rPr>
        <w:t> </w:t>
      </w:r>
    </w:p>
    <w:p w14:paraId="29478174" w14:textId="77777777" w:rsidR="00CD4E8A" w:rsidRPr="0005091D" w:rsidRDefault="0005091D" w:rsidP="0005091D">
      <w:pPr>
        <w:pStyle w:val="Kop3"/>
        <w:spacing w:before="0" w:after="0"/>
        <w:rPr>
          <w:sz w:val="18"/>
          <w:szCs w:val="18"/>
          <w:bdr w:val="nil"/>
        </w:rPr>
      </w:pPr>
      <w:r w:rsidRPr="0005091D">
        <w:rPr>
          <w:sz w:val="18"/>
          <w:szCs w:val="18"/>
          <w:bdr w:val="nil"/>
        </w:rPr>
        <w:t>Tariefdifferentiatie (algemeen)</w:t>
      </w:r>
    </w:p>
    <w:p w14:paraId="373E17DB" w14:textId="77777777" w:rsidR="00CD4E8A" w:rsidRPr="0005091D" w:rsidRDefault="0005091D" w:rsidP="0005091D">
      <w:pPr>
        <w:rPr>
          <w:szCs w:val="18"/>
          <w:bdr w:val="nil"/>
        </w:rPr>
      </w:pPr>
      <w:r w:rsidRPr="0005091D">
        <w:rPr>
          <w:szCs w:val="18"/>
          <w:bdr w:val="nil"/>
        </w:rPr>
        <w:t xml:space="preserve">In artikel 122 van de Waterschapswet wordt aan de algemene besturen van de waterschappen de mogelijkheid geboden om de heffing in een aantal gevallen lager of hoger vast te stellen, de zogenaamde tariefdifferentiatie. Zoals blijkt uit de Memorie van Toelichting heeft de wetgever deze regeling opgenomen omdat zij niet voorbij heeft willen gaan aan het feit dat het belang bij de watersysteemtaak voor bepaalde onroerende zaken duidelijk anders kan liggen dan dat van andere onroerende zaken. De wetgever heeft nadrukkelijk aangegeven dat de waterschappen op het gebied van de tariefdifferentiatie een bestuurlijke vrijheid hebben. Het algemeen bestuur van een waterschap is met andere woorden niet tot het differentiëren van tarieven verplicht. Zie hiervoor de Memorie van Toelichting bij de Wet modernisering waterschapsbestel (TK 2005-2006, 30 601, nr. 3, blz. 26). Tariefdifferentiatie kan in een aantal in de wet genoemde gevallen worden toegepast voor de tarieven van ongebouwde onroerende zaken die geen natuurterreinen zijn, voor natuurterreinen en voor gebouwde onroerende zaken. Het tarief van de ingezetenenheffing kan niet worden gedifferentieerd. </w:t>
      </w:r>
    </w:p>
    <w:p w14:paraId="642608CB" w14:textId="77777777" w:rsidR="00CD4E8A" w:rsidRPr="0005091D" w:rsidRDefault="0005091D" w:rsidP="0005091D">
      <w:pPr>
        <w:rPr>
          <w:szCs w:val="18"/>
          <w:bdr w:val="nil"/>
        </w:rPr>
      </w:pPr>
      <w:r w:rsidRPr="0005091D">
        <w:rPr>
          <w:szCs w:val="18"/>
          <w:bdr w:val="nil"/>
        </w:rPr>
        <w:t> </w:t>
      </w:r>
    </w:p>
    <w:p w14:paraId="222C4497" w14:textId="77777777" w:rsidR="00CD4E8A" w:rsidRPr="0005091D" w:rsidRDefault="0005091D" w:rsidP="0005091D">
      <w:pPr>
        <w:rPr>
          <w:szCs w:val="18"/>
          <w:bdr w:val="nil"/>
        </w:rPr>
      </w:pPr>
      <w:r w:rsidRPr="0005091D">
        <w:rPr>
          <w:szCs w:val="18"/>
          <w:bdr w:val="nil"/>
        </w:rPr>
        <w:t xml:space="preserve">Uitgangspunt bij de watersysteemheffing is dat het tarief per eenheid van de heffingsmaatstaf gelijk is (zie artikel 121, eerste lid, onder b, c en d, van de Waterschapswet). Indien voor tariefdifferentiatie wordt gekozen, komt hierin verandering en kan het tarief voor bepaalde onroerende zaken </w:t>
      </w:r>
      <w:r w:rsidRPr="0005091D">
        <w:rPr>
          <w:b/>
          <w:bCs/>
          <w:szCs w:val="18"/>
          <w:bdr w:val="nil"/>
        </w:rPr>
        <w:t>binnen</w:t>
      </w:r>
      <w:r w:rsidRPr="0005091D">
        <w:rPr>
          <w:szCs w:val="18"/>
          <w:bdr w:val="nil"/>
        </w:rPr>
        <w:t xml:space="preserve"> een categorie hoger of lager worden vastgesteld. De situaties waarin tariefdifferentiatie mogelijk is, zijn in de wet limitatief </w:t>
      </w:r>
      <w:r w:rsidRPr="0005091D">
        <w:rPr>
          <w:szCs w:val="18"/>
          <w:bdr w:val="nil"/>
        </w:rPr>
        <w:lastRenderedPageBreak/>
        <w:t xml:space="preserve">genoemd. De wet geeft ook aan wat de maximale omvang (lees: verhoging of verlaging) van de differentiatie is. </w:t>
      </w:r>
    </w:p>
    <w:p w14:paraId="17501D77" w14:textId="77777777" w:rsidR="00CD4E8A" w:rsidRPr="0005091D" w:rsidRDefault="0005091D" w:rsidP="0005091D">
      <w:pPr>
        <w:rPr>
          <w:szCs w:val="18"/>
          <w:bdr w:val="nil"/>
        </w:rPr>
      </w:pPr>
      <w:r w:rsidRPr="0005091D">
        <w:rPr>
          <w:szCs w:val="18"/>
          <w:bdr w:val="nil"/>
        </w:rPr>
        <w:t> </w:t>
      </w:r>
    </w:p>
    <w:p w14:paraId="77871214" w14:textId="77777777" w:rsidR="00CD4E8A" w:rsidRPr="0005091D" w:rsidRDefault="0005091D" w:rsidP="0005091D">
      <w:pPr>
        <w:rPr>
          <w:szCs w:val="18"/>
          <w:bdr w:val="nil"/>
        </w:rPr>
      </w:pPr>
      <w:r w:rsidRPr="0005091D">
        <w:rPr>
          <w:szCs w:val="18"/>
          <w:bdr w:val="nil"/>
        </w:rPr>
        <w:t>Tariefdifferentiatie is ingevolge artikel 122 uitsluitend in de volgende gevallen en tot de volgende maxima mogelijk:</w:t>
      </w:r>
    </w:p>
    <w:p w14:paraId="13CD7DC8" w14:textId="77777777" w:rsidR="00CD4E8A" w:rsidRPr="0005091D" w:rsidRDefault="0005091D" w:rsidP="0005091D">
      <w:pPr>
        <w:ind w:left="340" w:hanging="340"/>
        <w:rPr>
          <w:szCs w:val="18"/>
          <w:bdr w:val="nil"/>
        </w:rPr>
      </w:pPr>
      <w:r w:rsidRPr="0005091D">
        <w:rPr>
          <w:szCs w:val="18"/>
          <w:bdr w:val="nil"/>
        </w:rPr>
        <w:t>1.    buitendijks gelegen onroerende zaken: maximaal 75% lager tarief;</w:t>
      </w:r>
    </w:p>
    <w:p w14:paraId="4D5F2684" w14:textId="77777777" w:rsidR="00CD4E8A" w:rsidRPr="0005091D" w:rsidRDefault="0005091D" w:rsidP="0005091D">
      <w:pPr>
        <w:ind w:left="340" w:hanging="340"/>
        <w:rPr>
          <w:szCs w:val="18"/>
          <w:bdr w:val="nil"/>
        </w:rPr>
      </w:pPr>
      <w:r w:rsidRPr="0005091D">
        <w:rPr>
          <w:szCs w:val="18"/>
          <w:bdr w:val="nil"/>
        </w:rPr>
        <w:t>2.    onroerende zaken die blijkens de legger van het waterschap als waterberging worden gebruikt: maximaal 75% lager tarief;</w:t>
      </w:r>
    </w:p>
    <w:p w14:paraId="56556D05" w14:textId="77777777" w:rsidR="00CD4E8A" w:rsidRPr="0005091D" w:rsidRDefault="0005091D" w:rsidP="0005091D">
      <w:pPr>
        <w:ind w:left="340" w:hanging="340"/>
        <w:rPr>
          <w:szCs w:val="18"/>
          <w:bdr w:val="nil"/>
        </w:rPr>
      </w:pPr>
      <w:r w:rsidRPr="0005091D">
        <w:rPr>
          <w:szCs w:val="18"/>
          <w:bdr w:val="nil"/>
        </w:rPr>
        <w:t>3.    onroerende zaken gelegen in bemalen gebieden: maximaal 100% hoger tarief;</w:t>
      </w:r>
    </w:p>
    <w:p w14:paraId="26443534" w14:textId="77777777" w:rsidR="00CD4E8A" w:rsidRPr="0005091D" w:rsidRDefault="0005091D" w:rsidP="0005091D">
      <w:pPr>
        <w:ind w:left="340" w:hanging="340"/>
        <w:rPr>
          <w:szCs w:val="18"/>
          <w:bdr w:val="nil"/>
        </w:rPr>
      </w:pPr>
      <w:r w:rsidRPr="0005091D">
        <w:rPr>
          <w:szCs w:val="18"/>
          <w:bdr w:val="nil"/>
        </w:rPr>
        <w:t>4.    onroerende zaken die in hoofdzaak bestaan uit glasopstanden als bedoeld in artikel 220d, eerste lid, onderdeel b, van de Gemeentewet: maximaal 100% hoger tarief;</w:t>
      </w:r>
    </w:p>
    <w:p w14:paraId="21B9E44F" w14:textId="77777777" w:rsidR="00CD4E8A" w:rsidRPr="0005091D" w:rsidRDefault="0005091D" w:rsidP="0005091D">
      <w:pPr>
        <w:ind w:left="340" w:hanging="340"/>
        <w:rPr>
          <w:szCs w:val="18"/>
          <w:bdr w:val="nil"/>
        </w:rPr>
      </w:pPr>
      <w:r w:rsidRPr="0005091D">
        <w:rPr>
          <w:szCs w:val="18"/>
          <w:bdr w:val="nil"/>
        </w:rPr>
        <w:t>5.    verharde openbare wegen: maximaal 100% hoger tarief indien het waterschap voor 1 juli 2012 nog geen tariefdifferentiatie wegen toepaste;</w:t>
      </w:r>
    </w:p>
    <w:p w14:paraId="73786B0F" w14:textId="77777777" w:rsidR="00CD4E8A" w:rsidRPr="0005091D" w:rsidRDefault="0005091D" w:rsidP="0005091D">
      <w:pPr>
        <w:ind w:left="340" w:hanging="340"/>
        <w:rPr>
          <w:szCs w:val="18"/>
          <w:bdr w:val="nil"/>
        </w:rPr>
      </w:pPr>
      <w:r w:rsidRPr="0005091D">
        <w:rPr>
          <w:szCs w:val="18"/>
          <w:bdr w:val="nil"/>
        </w:rPr>
        <w:t xml:space="preserve">6.    verharde openbare wegen: maximaal 400% hoger tarief indien het waterschap voor 1 juli 2012 al tariefdifferentiatie wegen toepaste. </w:t>
      </w:r>
    </w:p>
    <w:p w14:paraId="6DB01FC6" w14:textId="77777777" w:rsidR="00CD4E8A" w:rsidRPr="0005091D" w:rsidRDefault="0005091D" w:rsidP="0005091D">
      <w:pPr>
        <w:rPr>
          <w:szCs w:val="18"/>
          <w:bdr w:val="nil"/>
        </w:rPr>
      </w:pPr>
      <w:r w:rsidRPr="0005091D">
        <w:rPr>
          <w:szCs w:val="18"/>
          <w:bdr w:val="nil"/>
        </w:rPr>
        <w:t>De differentiaties kunnen zoals blijkt uit het vierde lid van artikel 122 naast elkaar worden toegepast. In de Handreiking tariefdifferentiatie van de Unie wordt aanbevolen om deze zogenaamde cumulatie van tariefdifferentiatie te beperken.</w:t>
      </w:r>
    </w:p>
    <w:p w14:paraId="18BFDC8D" w14:textId="77777777" w:rsidR="00CD4E8A" w:rsidRPr="0005091D" w:rsidRDefault="0005091D" w:rsidP="0005091D">
      <w:pPr>
        <w:rPr>
          <w:szCs w:val="18"/>
          <w:bdr w:val="nil"/>
        </w:rPr>
      </w:pPr>
      <w:r w:rsidRPr="0005091D">
        <w:rPr>
          <w:szCs w:val="18"/>
          <w:bdr w:val="nil"/>
        </w:rPr>
        <w:t> </w:t>
      </w:r>
    </w:p>
    <w:p w14:paraId="137CDD2D" w14:textId="77777777" w:rsidR="00CD4E8A" w:rsidRPr="0005091D" w:rsidRDefault="0005091D" w:rsidP="0005091D">
      <w:pPr>
        <w:rPr>
          <w:b/>
          <w:bCs/>
          <w:szCs w:val="18"/>
          <w:bdr w:val="nil"/>
        </w:rPr>
      </w:pPr>
      <w:r w:rsidRPr="0005091D">
        <w:rPr>
          <w:b/>
          <w:bCs/>
          <w:szCs w:val="18"/>
          <w:bdr w:val="nil"/>
        </w:rPr>
        <w:t>Tariefdifferentiatie verharde openbare wegen</w:t>
      </w:r>
    </w:p>
    <w:p w14:paraId="383DB38E" w14:textId="77777777" w:rsidR="00CD4E8A" w:rsidRPr="0005091D" w:rsidRDefault="0005091D" w:rsidP="0005091D">
      <w:pPr>
        <w:rPr>
          <w:szCs w:val="18"/>
          <w:bdr w:val="nil"/>
        </w:rPr>
      </w:pPr>
      <w:r w:rsidRPr="0005091D">
        <w:rPr>
          <w:szCs w:val="18"/>
          <w:bdr w:val="nil"/>
        </w:rPr>
        <w:t xml:space="preserve">De tariefdifferentiatie voor verharde openbare wegen (hierna gemakshalve ook tariefdifferentiatie wegen genoemd) bedroeg aanvankelijk 100%. Het is in 2008 ingevoerd omdat verharde openbare wegen hogere piekafvoeren kunnen veroorzaken en dus een relatief grote capaciteit van het watersysteem vragen. Ook het feit dat wegen een van de belangrijke bronnen van diffuse verontreiniging vormen, speelde bij de invoering van deze tariefdifferentiatie een rol (amendement Lenards en Van Lith, TK2006-2007, 30 601, nr. 15).  </w:t>
      </w:r>
    </w:p>
    <w:p w14:paraId="321E2EDF" w14:textId="77777777" w:rsidR="00CD4E8A" w:rsidRPr="0005091D" w:rsidRDefault="0005091D" w:rsidP="0005091D">
      <w:pPr>
        <w:rPr>
          <w:szCs w:val="18"/>
          <w:bdr w:val="nil"/>
        </w:rPr>
      </w:pPr>
      <w:r w:rsidRPr="0005091D">
        <w:rPr>
          <w:szCs w:val="18"/>
          <w:bdr w:val="nil"/>
        </w:rPr>
        <w:t> </w:t>
      </w:r>
    </w:p>
    <w:p w14:paraId="4AF8E426" w14:textId="77777777" w:rsidR="00CD4E8A" w:rsidRPr="0005091D" w:rsidRDefault="0005091D" w:rsidP="0005091D">
      <w:pPr>
        <w:rPr>
          <w:szCs w:val="18"/>
          <w:u w:val="single"/>
          <w:bdr w:val="nil"/>
        </w:rPr>
      </w:pPr>
      <w:r w:rsidRPr="0005091D">
        <w:rPr>
          <w:szCs w:val="18"/>
          <w:u w:val="single"/>
          <w:bdr w:val="nil"/>
        </w:rPr>
        <w:t>Verruiming van  de tariefdifferentiatie</w:t>
      </w:r>
    </w:p>
    <w:p w14:paraId="4955560D" w14:textId="77777777" w:rsidR="00CD4E8A" w:rsidRPr="0005091D" w:rsidRDefault="0005091D" w:rsidP="0005091D">
      <w:pPr>
        <w:rPr>
          <w:szCs w:val="18"/>
          <w:bdr w:val="nil"/>
        </w:rPr>
      </w:pPr>
      <w:r w:rsidRPr="0005091D">
        <w:rPr>
          <w:szCs w:val="18"/>
          <w:bdr w:val="nil"/>
        </w:rPr>
        <w:t xml:space="preserve">In de jaren na de invoering van de Wet modernisering waterschapsbestel is een discussie ontstaan over de zogenaamde weeffout in de Waterschapswet. Agrarische terreinen en wegen en spoorwegen vormen samen de categorie ongebouwd. Wegen hebben een relatief hoge waarde en deze hoge waarde drijft de waarde van de categorie als het ware op, hetgeen zich vertaalt in het kostenaandeel en in de tarieven die ook de agrariërs moeten betalen. Sommigen menen dat de agrarische sector hierdoor onevenredig zwaar wordt belast. Medio 2012 heeft de Tweede Kamer ingestemd met een amendement om tot verruiming van de tariefdifferentiatie wegen te komen (amendement Dijkgraaf- Ortega-Martijn,TK 2011-2012, 33 097, nr. 22). Blijkens de toelichting op dit amendement moet de verruiming de waterschappen een mogelijkheid bieden om onevenredig hoge agrarische tarieven tegen te gaan. </w:t>
      </w:r>
    </w:p>
    <w:p w14:paraId="69D31F2A" w14:textId="77777777" w:rsidR="00CD4E8A" w:rsidRPr="0005091D" w:rsidRDefault="0005091D" w:rsidP="0005091D">
      <w:pPr>
        <w:rPr>
          <w:szCs w:val="18"/>
          <w:bdr w:val="nil"/>
        </w:rPr>
      </w:pPr>
      <w:r w:rsidRPr="0005091D">
        <w:rPr>
          <w:szCs w:val="18"/>
          <w:bdr w:val="nil"/>
        </w:rPr>
        <w:t xml:space="preserve">Als gevolg van het amendement is artikel 122, derde lid, van de Waterschapswet met ingang van 1 januari 2013 gewijzigd. In een nieuw onderdeel c is geregeld dat het tarief voor verharde openbare wegen maximaal 400% hoger kan worden vastgesteld indien het waterschap voor 1 juli 2012 al een wegendifferentiatie toepaste. Als dit niet het geval is, kan de tariefdifferentiatie maximaal 100% bedragen (zie hiervoor artikel 122, derde lid, onder b, van de Waterschapswet). </w:t>
      </w:r>
    </w:p>
    <w:p w14:paraId="1DBF8399" w14:textId="29AA7440" w:rsidR="00CD4E8A" w:rsidRPr="0005091D" w:rsidRDefault="0005091D" w:rsidP="0005091D">
      <w:pPr>
        <w:rPr>
          <w:szCs w:val="18"/>
          <w:bdr w:val="nil"/>
        </w:rPr>
      </w:pPr>
      <w:r w:rsidRPr="0005091D">
        <w:rPr>
          <w:szCs w:val="18"/>
          <w:bdr w:val="nil"/>
        </w:rPr>
        <w:t> </w:t>
      </w:r>
    </w:p>
    <w:p w14:paraId="5728567A" w14:textId="77777777" w:rsidR="00CD4E8A" w:rsidRPr="0005091D" w:rsidRDefault="0005091D" w:rsidP="0005091D">
      <w:pPr>
        <w:pStyle w:val="Kop2"/>
        <w:spacing w:before="0" w:after="0"/>
        <w:rPr>
          <w:bCs/>
          <w:sz w:val="18"/>
          <w:szCs w:val="18"/>
          <w:bdr w:val="nil"/>
        </w:rPr>
      </w:pPr>
      <w:r w:rsidRPr="0005091D">
        <w:rPr>
          <w:bCs/>
          <w:sz w:val="18"/>
          <w:szCs w:val="18"/>
          <w:bdr w:val="nil"/>
        </w:rPr>
        <w:t xml:space="preserve">Artikelsgewijs </w:t>
      </w:r>
    </w:p>
    <w:p w14:paraId="418A749D" w14:textId="77777777" w:rsidR="00CD4E8A" w:rsidRPr="0005091D" w:rsidRDefault="0005091D" w:rsidP="0005091D">
      <w:pPr>
        <w:pStyle w:val="Kop3"/>
        <w:spacing w:before="0" w:after="0"/>
        <w:rPr>
          <w:sz w:val="18"/>
          <w:szCs w:val="18"/>
          <w:bdr w:val="nil"/>
        </w:rPr>
      </w:pPr>
      <w:r w:rsidRPr="0005091D">
        <w:rPr>
          <w:sz w:val="18"/>
          <w:szCs w:val="18"/>
          <w:bdr w:val="nil"/>
        </w:rPr>
        <w:t> </w:t>
      </w:r>
    </w:p>
    <w:p w14:paraId="77A89342" w14:textId="77777777" w:rsidR="00CD4E8A" w:rsidRPr="0005091D" w:rsidRDefault="0005091D" w:rsidP="0005091D">
      <w:pPr>
        <w:pStyle w:val="Kop3"/>
        <w:spacing w:before="0" w:after="0"/>
        <w:rPr>
          <w:sz w:val="18"/>
          <w:szCs w:val="18"/>
          <w:bdr w:val="nil"/>
        </w:rPr>
      </w:pPr>
      <w:r w:rsidRPr="0005091D">
        <w:rPr>
          <w:sz w:val="18"/>
          <w:szCs w:val="18"/>
          <w:bdr w:val="nil"/>
        </w:rPr>
        <w:t>Artikel 1           Begripsomschrijvingen</w:t>
      </w:r>
    </w:p>
    <w:p w14:paraId="19263E38" w14:textId="77777777" w:rsidR="00CD4E8A" w:rsidRPr="0005091D" w:rsidRDefault="0005091D" w:rsidP="0005091D">
      <w:pPr>
        <w:rPr>
          <w:szCs w:val="18"/>
          <w:bdr w:val="nil"/>
        </w:rPr>
      </w:pPr>
      <w:r w:rsidRPr="0005091D">
        <w:rPr>
          <w:szCs w:val="18"/>
          <w:bdr w:val="nil"/>
        </w:rPr>
        <w:t xml:space="preserve">In artikel 1 zijn enkele begrippen die in de modelverordening vaker voorkomen, nader omschreven. De onderdelen g tot en met j zijn speciaal in verband met de bepalingen over de tariefdifferentiatie opgenomen. </w:t>
      </w:r>
    </w:p>
    <w:p w14:paraId="6B2DABE7" w14:textId="77777777" w:rsidR="00CD4E8A" w:rsidRPr="0005091D" w:rsidRDefault="0005091D" w:rsidP="0005091D">
      <w:pPr>
        <w:rPr>
          <w:szCs w:val="18"/>
          <w:bdr w:val="nil"/>
        </w:rPr>
      </w:pPr>
      <w:r w:rsidRPr="0005091D">
        <w:rPr>
          <w:szCs w:val="18"/>
          <w:bdr w:val="nil"/>
        </w:rPr>
        <w:t> </w:t>
      </w:r>
    </w:p>
    <w:p w14:paraId="5228BAA6" w14:textId="77777777" w:rsidR="00CD4E8A" w:rsidRPr="0005091D" w:rsidRDefault="0005091D" w:rsidP="0005091D">
      <w:pPr>
        <w:rPr>
          <w:b/>
          <w:bCs/>
          <w:szCs w:val="18"/>
          <w:bdr w:val="nil"/>
        </w:rPr>
      </w:pPr>
      <w:r w:rsidRPr="0005091D">
        <w:rPr>
          <w:b/>
          <w:bCs/>
          <w:szCs w:val="18"/>
          <w:bdr w:val="nil"/>
        </w:rPr>
        <w:t>Kosten</w:t>
      </w:r>
    </w:p>
    <w:p w14:paraId="7F8D4459" w14:textId="77777777" w:rsidR="00CD4E8A" w:rsidRPr="0005091D" w:rsidRDefault="0005091D" w:rsidP="0005091D">
      <w:pPr>
        <w:rPr>
          <w:szCs w:val="18"/>
          <w:bdr w:val="nil"/>
        </w:rPr>
      </w:pPr>
      <w:r w:rsidRPr="0005091D">
        <w:rPr>
          <w:szCs w:val="18"/>
          <w:bdr w:val="nil"/>
        </w:rPr>
        <w:t xml:space="preserve">In </w:t>
      </w:r>
      <w:r w:rsidRPr="0005091D">
        <w:rPr>
          <w:b/>
          <w:bCs/>
          <w:szCs w:val="18"/>
          <w:bdr w:val="nil"/>
        </w:rPr>
        <w:t>onderdeel a</w:t>
      </w:r>
      <w:r w:rsidRPr="0005091D">
        <w:rPr>
          <w:szCs w:val="18"/>
          <w:bdr w:val="nil"/>
        </w:rPr>
        <w:t xml:space="preserve"> wordt een omschrijving van het begrip kosten gegeven. De kosten die in de kostentoedeling een rol spelen zijn de netto-kosten die in de begroting van het waterschap zijn opgenomen en die met behulp van de watersysteemheffing worden gedekt. </w:t>
      </w:r>
    </w:p>
    <w:p w14:paraId="69840690" w14:textId="77777777" w:rsidR="00CD4E8A" w:rsidRPr="0005091D" w:rsidRDefault="0005091D" w:rsidP="0005091D">
      <w:pPr>
        <w:rPr>
          <w:szCs w:val="18"/>
          <w:bdr w:val="nil"/>
        </w:rPr>
      </w:pPr>
      <w:r w:rsidRPr="0005091D">
        <w:rPr>
          <w:szCs w:val="18"/>
          <w:bdr w:val="nil"/>
        </w:rPr>
        <w:t> </w:t>
      </w:r>
    </w:p>
    <w:p w14:paraId="08FCA273" w14:textId="77777777" w:rsidR="00CD4E8A" w:rsidRPr="0005091D" w:rsidRDefault="0005091D" w:rsidP="0005091D">
      <w:pPr>
        <w:rPr>
          <w:b/>
          <w:bCs/>
          <w:szCs w:val="18"/>
          <w:bdr w:val="nil"/>
        </w:rPr>
      </w:pPr>
      <w:r w:rsidRPr="0005091D">
        <w:rPr>
          <w:b/>
          <w:bCs/>
          <w:szCs w:val="18"/>
          <w:bdr w:val="nil"/>
        </w:rPr>
        <w:t>Gebied van het waterschap</w:t>
      </w:r>
    </w:p>
    <w:p w14:paraId="5EF0CAFA" w14:textId="77777777" w:rsidR="00CD4E8A" w:rsidRPr="0005091D" w:rsidRDefault="0005091D" w:rsidP="0005091D">
      <w:pPr>
        <w:rPr>
          <w:szCs w:val="18"/>
          <w:bdr w:val="nil"/>
        </w:rPr>
      </w:pPr>
      <w:r w:rsidRPr="0005091D">
        <w:rPr>
          <w:szCs w:val="18"/>
          <w:bdr w:val="nil"/>
        </w:rPr>
        <w:t>In artikel 1 van de Waterschapswet is het functionele karakter van de waterschappen vastgelegd: hun taak is de waterstaatkundige verzorging van een bepaald gebied. In verband hiermee is onder andere de zorg voor het watersysteem aan hen opgedragen. De regeling van het waterschapsgebied gebeurt door de provincie, bij provinciaal reglement. In de praktijk wordt het gebied van het waterschap veelal aangeduid op een (al dan niet elektronische) kaart die bij het provinciale reglement behoort.</w:t>
      </w:r>
    </w:p>
    <w:p w14:paraId="56A7B14F" w14:textId="77777777" w:rsidR="00CD4E8A" w:rsidRPr="0005091D" w:rsidRDefault="0005091D" w:rsidP="0005091D">
      <w:pPr>
        <w:rPr>
          <w:szCs w:val="18"/>
          <w:bdr w:val="nil"/>
        </w:rPr>
      </w:pPr>
      <w:r w:rsidRPr="0005091D">
        <w:rPr>
          <w:szCs w:val="18"/>
          <w:bdr w:val="nil"/>
        </w:rPr>
        <w:t xml:space="preserve">De toekenning van ‘de zorg voor het watersysteem’ aan de waterschappen impliceert niet dat </w:t>
      </w:r>
      <w:r w:rsidRPr="0005091D">
        <w:rPr>
          <w:i/>
          <w:iCs/>
          <w:szCs w:val="18"/>
          <w:bdr w:val="nil"/>
        </w:rPr>
        <w:t>alle</w:t>
      </w:r>
      <w:r w:rsidRPr="0005091D">
        <w:rPr>
          <w:szCs w:val="18"/>
          <w:bdr w:val="nil"/>
        </w:rPr>
        <w:t xml:space="preserve"> zorg voor het watersysteem in een bepaald gebied aan het waterschap is toegekend. Ook andere overheden kunnen </w:t>
      </w:r>
      <w:r w:rsidRPr="0005091D">
        <w:rPr>
          <w:szCs w:val="18"/>
          <w:bdr w:val="nil"/>
        </w:rPr>
        <w:lastRenderedPageBreak/>
        <w:t>ter zake taken uitoefenen)</w:t>
      </w:r>
      <w:r w:rsidRPr="0005091D">
        <w:rPr>
          <w:rFonts w:eastAsia="Arial" w:cs="Arial"/>
          <w:color w:val="0000EE"/>
          <w:szCs w:val="18"/>
          <w:u w:val="single"/>
          <w:bdr w:val="nil"/>
        </w:rPr>
        <w:t>[3]</w:t>
      </w:r>
      <w:r w:rsidRPr="0005091D">
        <w:rPr>
          <w:rStyle w:val="Voetnootmarkering"/>
          <w:sz w:val="18"/>
          <w:szCs w:val="18"/>
        </w:rPr>
        <w:footnoteReference w:id="3"/>
      </w:r>
      <w:r w:rsidRPr="0005091D">
        <w:rPr>
          <w:szCs w:val="18"/>
          <w:bdr w:val="nil"/>
        </w:rPr>
        <w:t xml:space="preserve">. In artikel 1, onderdeel b, van de modelverordening wordt ‘het gebied van het waterschap’ daarom omschreven als het gebied dat is aangegeven op de bij het provinciale reglement behorende kaart waarin de zorg voor het watersysteem aan het waterschap is opgedragen.  </w:t>
      </w:r>
    </w:p>
    <w:p w14:paraId="7A4A1164" w14:textId="77777777" w:rsidR="00CD4E8A" w:rsidRPr="0005091D" w:rsidRDefault="0005091D" w:rsidP="0005091D">
      <w:pPr>
        <w:rPr>
          <w:szCs w:val="18"/>
          <w:bdr w:val="nil"/>
        </w:rPr>
      </w:pPr>
      <w:r w:rsidRPr="0005091D">
        <w:rPr>
          <w:szCs w:val="18"/>
          <w:bdr w:val="nil"/>
        </w:rPr>
        <w:t> </w:t>
      </w:r>
    </w:p>
    <w:p w14:paraId="068A268A" w14:textId="77777777" w:rsidR="00CD4E8A" w:rsidRPr="0005091D" w:rsidRDefault="0005091D" w:rsidP="0005091D">
      <w:pPr>
        <w:rPr>
          <w:b/>
          <w:bCs/>
          <w:szCs w:val="18"/>
          <w:bdr w:val="nil"/>
        </w:rPr>
      </w:pPr>
      <w:r w:rsidRPr="0005091D">
        <w:rPr>
          <w:b/>
          <w:bCs/>
          <w:szCs w:val="18"/>
          <w:bdr w:val="nil"/>
        </w:rPr>
        <w:t>Ingezetene</w:t>
      </w:r>
    </w:p>
    <w:p w14:paraId="7CF51D53" w14:textId="77777777" w:rsidR="00CD4E8A" w:rsidRPr="0005091D" w:rsidRDefault="0005091D" w:rsidP="0005091D">
      <w:pPr>
        <w:rPr>
          <w:szCs w:val="18"/>
          <w:bdr w:val="nil"/>
        </w:rPr>
      </w:pPr>
      <w:r w:rsidRPr="0005091D">
        <w:rPr>
          <w:szCs w:val="18"/>
          <w:bdr w:val="nil"/>
        </w:rPr>
        <w:t xml:space="preserve">In </w:t>
      </w:r>
      <w:r w:rsidRPr="0005091D">
        <w:rPr>
          <w:b/>
          <w:bCs/>
          <w:szCs w:val="18"/>
          <w:bdr w:val="nil"/>
        </w:rPr>
        <w:t xml:space="preserve">onderdeel c </w:t>
      </w:r>
      <w:r w:rsidRPr="0005091D">
        <w:rPr>
          <w:szCs w:val="18"/>
          <w:bdr w:val="nil"/>
        </w:rPr>
        <w:t xml:space="preserve">wordt eenomschrijving gegeven van het begrip ingezetene. De omschrijving is ontleend aan artikel 116, onder a, van de Waterschapswet. Om als ingezetene aangemerkt te kunnen worden, moet sprake zijn van het hebben van woonplaats én het gebruik van woonruimte in het gebied van het waterschap. Het gaat om cumulatieve voorwaarden. Of sprake is van het hebben van woonplaats, wordt aan de hand van gegevens uit de basisregistratie personen bepaald. De situatie bij het begin van het kalenderjaar is bepalend. </w:t>
      </w:r>
    </w:p>
    <w:p w14:paraId="6272E4E6" w14:textId="77777777" w:rsidR="00CD4E8A" w:rsidRPr="0005091D" w:rsidRDefault="0005091D" w:rsidP="0005091D">
      <w:pPr>
        <w:rPr>
          <w:szCs w:val="18"/>
          <w:bdr w:val="nil"/>
        </w:rPr>
      </w:pPr>
      <w:r w:rsidRPr="0005091D">
        <w:rPr>
          <w:szCs w:val="18"/>
          <w:bdr w:val="nil"/>
        </w:rPr>
        <w:t> </w:t>
      </w:r>
    </w:p>
    <w:p w14:paraId="6CC42D2F" w14:textId="77777777" w:rsidR="00CD4E8A" w:rsidRPr="0005091D" w:rsidRDefault="0005091D" w:rsidP="0005091D">
      <w:pPr>
        <w:rPr>
          <w:szCs w:val="18"/>
          <w:bdr w:val="nil"/>
        </w:rPr>
      </w:pPr>
      <w:r w:rsidRPr="0005091D">
        <w:rPr>
          <w:szCs w:val="18"/>
          <w:bdr w:val="nil"/>
        </w:rPr>
        <w:t xml:space="preserve">Woonruimte is iedere ruimte die blijkens zijn inrichting bestemd is om als een afzonderlijk geheel te voorzien in woongelegenheid. Dit betekent dat de gebruiker van de woonruimte niet anders dan bijkomstig afhankelijk mag zijn van voorzieningen elders in het gebouw. In het geval van woonruimten moet dan worden gedacht aan voorzieningen als keuken, douche en toilet. Deze moeten de gebruiker van de woonruimte, met uitsluiting van anderen die niet tot zijn of haar huishouden behoren, exclusief ter beschikking staan. Bewoners van verpleeg- en verzorgingshuizen kunnen om deze reden veelal niet als ingezetenen in de zin van artikel 116, onder a, van de Waterschapswet worden aangemerkt. Hetzelfde geldt voor bewoners van studentenhuizen. </w:t>
      </w:r>
    </w:p>
    <w:p w14:paraId="3D0657EA" w14:textId="77777777" w:rsidR="00CD4E8A" w:rsidRPr="0005091D" w:rsidRDefault="0005091D" w:rsidP="0005091D">
      <w:pPr>
        <w:rPr>
          <w:b/>
          <w:bCs/>
          <w:szCs w:val="18"/>
          <w:bdr w:val="nil"/>
        </w:rPr>
      </w:pPr>
      <w:r w:rsidRPr="0005091D">
        <w:rPr>
          <w:b/>
          <w:bCs/>
          <w:szCs w:val="18"/>
          <w:bdr w:val="nil"/>
        </w:rPr>
        <w:t> </w:t>
      </w:r>
    </w:p>
    <w:p w14:paraId="37677EF4" w14:textId="77777777" w:rsidR="00CD4E8A" w:rsidRPr="0005091D" w:rsidRDefault="0005091D" w:rsidP="0005091D">
      <w:pPr>
        <w:rPr>
          <w:b/>
          <w:bCs/>
          <w:szCs w:val="18"/>
          <w:bdr w:val="nil"/>
        </w:rPr>
      </w:pPr>
      <w:r w:rsidRPr="0005091D">
        <w:rPr>
          <w:b/>
          <w:bCs/>
          <w:szCs w:val="18"/>
          <w:bdr w:val="nil"/>
        </w:rPr>
        <w:t>Zakelijk gerechtigden</w:t>
      </w:r>
    </w:p>
    <w:p w14:paraId="187E3368" w14:textId="77777777" w:rsidR="00CD4E8A" w:rsidRPr="0005091D" w:rsidRDefault="0005091D" w:rsidP="0005091D">
      <w:pPr>
        <w:rPr>
          <w:b/>
          <w:bCs/>
          <w:szCs w:val="18"/>
          <w:bdr w:val="nil"/>
        </w:rPr>
      </w:pPr>
      <w:r w:rsidRPr="0005091D">
        <w:rPr>
          <w:b/>
          <w:bCs/>
          <w:szCs w:val="18"/>
          <w:bdr w:val="nil"/>
        </w:rPr>
        <w:t>In de onderdelen d, e en f</w:t>
      </w:r>
      <w:r w:rsidRPr="0005091D">
        <w:rPr>
          <w:szCs w:val="18"/>
          <w:bdr w:val="nil"/>
        </w:rPr>
        <w:t xml:space="preserve"> wordt steeds het begrip ‘zakelijk gerechtigden’ gebruikt als omschrijving voor degenen die krachtens eigendom, bezit of beperkt recht het genot hebben van onroerende zaken in het gebied van het waterschap en uit dien hoofde belastingplichtig zijn (vgl. artikel 117, eerste lid, onderdelen b tot en met d, Waterschapswet). Het gaat meer specifiek om de zakelijk gerechtigden ongebouwd niet zijnde natuurterreinen, zakelijk gerechtigden natuurterreinen en zakelijk gerechtigden gebouwd. </w:t>
      </w:r>
    </w:p>
    <w:p w14:paraId="3C86CB50" w14:textId="77777777" w:rsidR="00CD4E8A" w:rsidRPr="0005091D" w:rsidRDefault="0005091D" w:rsidP="0005091D">
      <w:pPr>
        <w:rPr>
          <w:szCs w:val="18"/>
          <w:bdr w:val="nil"/>
        </w:rPr>
      </w:pPr>
      <w:r w:rsidRPr="0005091D">
        <w:rPr>
          <w:szCs w:val="18"/>
          <w:bdr w:val="nil"/>
        </w:rPr>
        <w:t>De beperkte rechten die tot belastingplicht leiden, zijn:</w:t>
      </w:r>
    </w:p>
    <w:p w14:paraId="1A328E30" w14:textId="77777777" w:rsidR="00CD4E8A" w:rsidRPr="0005091D" w:rsidRDefault="0005091D" w:rsidP="0005091D">
      <w:pPr>
        <w:ind w:left="770" w:hanging="360"/>
        <w:rPr>
          <w:rFonts w:eastAsia="Symbol" w:cs="Symbol"/>
          <w:szCs w:val="18"/>
          <w:bdr w:val="nil"/>
        </w:rPr>
      </w:pPr>
      <w:r w:rsidRPr="0005091D">
        <w:rPr>
          <w:rFonts w:eastAsia="Symbol" w:cs="Symbol"/>
          <w:szCs w:val="18"/>
          <w:bdr w:val="nil"/>
        </w:rPr>
        <w:t>·</w:t>
      </w:r>
      <w:r w:rsidRPr="0005091D">
        <w:rPr>
          <w:rFonts w:eastAsia="Times New Roman" w:cs="Times New Roman"/>
          <w:szCs w:val="18"/>
          <w:bdr w:val="nil"/>
        </w:rPr>
        <w:t xml:space="preserve">         </w:t>
      </w:r>
      <w:r w:rsidRPr="0005091D">
        <w:rPr>
          <w:szCs w:val="18"/>
          <w:bdr w:val="nil"/>
        </w:rPr>
        <w:t>appartementsrecht;</w:t>
      </w:r>
    </w:p>
    <w:p w14:paraId="20857DEA" w14:textId="77777777" w:rsidR="00CD4E8A" w:rsidRPr="0005091D" w:rsidRDefault="0005091D" w:rsidP="0005091D">
      <w:pPr>
        <w:ind w:left="770" w:hanging="360"/>
        <w:rPr>
          <w:rFonts w:eastAsia="Symbol" w:cs="Symbol"/>
          <w:szCs w:val="18"/>
          <w:bdr w:val="nil"/>
        </w:rPr>
      </w:pPr>
      <w:r w:rsidRPr="0005091D">
        <w:rPr>
          <w:rFonts w:eastAsia="Symbol" w:cs="Symbol"/>
          <w:szCs w:val="18"/>
          <w:bdr w:val="nil"/>
        </w:rPr>
        <w:t>·</w:t>
      </w:r>
      <w:r w:rsidRPr="0005091D">
        <w:rPr>
          <w:rFonts w:eastAsia="Times New Roman" w:cs="Times New Roman"/>
          <w:szCs w:val="18"/>
          <w:bdr w:val="nil"/>
        </w:rPr>
        <w:t xml:space="preserve">         </w:t>
      </w:r>
      <w:r w:rsidRPr="0005091D">
        <w:rPr>
          <w:szCs w:val="18"/>
          <w:bdr w:val="nil"/>
        </w:rPr>
        <w:t>erfpachtrecht;</w:t>
      </w:r>
    </w:p>
    <w:p w14:paraId="3C3C2F82" w14:textId="77777777" w:rsidR="00CD4E8A" w:rsidRPr="0005091D" w:rsidRDefault="0005091D" w:rsidP="0005091D">
      <w:pPr>
        <w:ind w:left="770" w:hanging="360"/>
        <w:rPr>
          <w:rFonts w:eastAsia="Symbol" w:cs="Symbol"/>
          <w:szCs w:val="18"/>
          <w:bdr w:val="nil"/>
        </w:rPr>
      </w:pPr>
      <w:r w:rsidRPr="0005091D">
        <w:rPr>
          <w:rFonts w:eastAsia="Symbol" w:cs="Symbol"/>
          <w:szCs w:val="18"/>
          <w:bdr w:val="nil"/>
        </w:rPr>
        <w:t>·</w:t>
      </w:r>
      <w:r w:rsidRPr="0005091D">
        <w:rPr>
          <w:rFonts w:eastAsia="Times New Roman" w:cs="Times New Roman"/>
          <w:szCs w:val="18"/>
          <w:bdr w:val="nil"/>
        </w:rPr>
        <w:t xml:space="preserve">         </w:t>
      </w:r>
      <w:r w:rsidRPr="0005091D">
        <w:rPr>
          <w:szCs w:val="18"/>
          <w:bdr w:val="nil"/>
        </w:rPr>
        <w:t>recht van opstal;</w:t>
      </w:r>
    </w:p>
    <w:p w14:paraId="6BF75C39" w14:textId="77777777" w:rsidR="00CD4E8A" w:rsidRPr="0005091D" w:rsidRDefault="0005091D" w:rsidP="0005091D">
      <w:pPr>
        <w:ind w:left="770" w:hanging="360"/>
        <w:rPr>
          <w:rFonts w:eastAsia="Symbol" w:cs="Symbol"/>
          <w:szCs w:val="18"/>
          <w:bdr w:val="nil"/>
        </w:rPr>
      </w:pPr>
      <w:r w:rsidRPr="0005091D">
        <w:rPr>
          <w:rFonts w:eastAsia="Symbol" w:cs="Symbol"/>
          <w:szCs w:val="18"/>
          <w:bdr w:val="nil"/>
        </w:rPr>
        <w:t>·</w:t>
      </w:r>
      <w:r w:rsidRPr="0005091D">
        <w:rPr>
          <w:rFonts w:eastAsia="Times New Roman" w:cs="Times New Roman"/>
          <w:szCs w:val="18"/>
          <w:bdr w:val="nil"/>
        </w:rPr>
        <w:t xml:space="preserve">         </w:t>
      </w:r>
      <w:r w:rsidRPr="0005091D">
        <w:rPr>
          <w:szCs w:val="18"/>
          <w:bdr w:val="nil"/>
        </w:rPr>
        <w:t>recht van vruchtgebruik;</w:t>
      </w:r>
    </w:p>
    <w:p w14:paraId="0B99FA49" w14:textId="77777777" w:rsidR="00CD4E8A" w:rsidRPr="0005091D" w:rsidRDefault="0005091D" w:rsidP="0005091D">
      <w:pPr>
        <w:ind w:left="770" w:hanging="360"/>
        <w:rPr>
          <w:rFonts w:eastAsia="Symbol" w:cs="Symbol"/>
          <w:szCs w:val="18"/>
          <w:bdr w:val="nil"/>
        </w:rPr>
      </w:pPr>
      <w:r w:rsidRPr="0005091D">
        <w:rPr>
          <w:rFonts w:eastAsia="Symbol" w:cs="Symbol"/>
          <w:szCs w:val="18"/>
          <w:bdr w:val="nil"/>
        </w:rPr>
        <w:t>·</w:t>
      </w:r>
      <w:r w:rsidRPr="0005091D">
        <w:rPr>
          <w:rFonts w:eastAsia="Times New Roman" w:cs="Times New Roman"/>
          <w:szCs w:val="18"/>
          <w:bdr w:val="nil"/>
        </w:rPr>
        <w:t xml:space="preserve">         </w:t>
      </w:r>
      <w:r w:rsidRPr="0005091D">
        <w:rPr>
          <w:szCs w:val="18"/>
          <w:bdr w:val="nil"/>
        </w:rPr>
        <w:t>recht van beklemming;</w:t>
      </w:r>
    </w:p>
    <w:p w14:paraId="2D237480" w14:textId="77777777" w:rsidR="00CD4E8A" w:rsidRPr="0005091D" w:rsidRDefault="0005091D" w:rsidP="0005091D">
      <w:pPr>
        <w:ind w:left="770" w:hanging="360"/>
        <w:rPr>
          <w:rFonts w:eastAsia="Symbol" w:cs="Symbol"/>
          <w:szCs w:val="18"/>
          <w:bdr w:val="nil"/>
        </w:rPr>
      </w:pPr>
      <w:r w:rsidRPr="0005091D">
        <w:rPr>
          <w:rFonts w:eastAsia="Symbol" w:cs="Symbol"/>
          <w:szCs w:val="18"/>
          <w:bdr w:val="nil"/>
        </w:rPr>
        <w:t>·</w:t>
      </w:r>
      <w:r w:rsidRPr="0005091D">
        <w:rPr>
          <w:rFonts w:eastAsia="Times New Roman" w:cs="Times New Roman"/>
          <w:szCs w:val="18"/>
          <w:bdr w:val="nil"/>
        </w:rPr>
        <w:t xml:space="preserve">         </w:t>
      </w:r>
      <w:r w:rsidRPr="0005091D">
        <w:rPr>
          <w:szCs w:val="18"/>
          <w:bdr w:val="nil"/>
        </w:rPr>
        <w:t>recht van gebruik en bewoning;</w:t>
      </w:r>
    </w:p>
    <w:p w14:paraId="44390BE5" w14:textId="77777777" w:rsidR="00CD4E8A" w:rsidRPr="0005091D" w:rsidRDefault="0005091D" w:rsidP="0005091D">
      <w:pPr>
        <w:ind w:left="770" w:hanging="360"/>
        <w:rPr>
          <w:rFonts w:eastAsia="Symbol" w:cs="Symbol"/>
          <w:szCs w:val="18"/>
          <w:bdr w:val="nil"/>
        </w:rPr>
      </w:pPr>
      <w:r w:rsidRPr="0005091D">
        <w:rPr>
          <w:rFonts w:eastAsia="Symbol" w:cs="Symbol"/>
          <w:szCs w:val="18"/>
          <w:bdr w:val="nil"/>
        </w:rPr>
        <w:t>·</w:t>
      </w:r>
      <w:r w:rsidRPr="0005091D">
        <w:rPr>
          <w:rFonts w:eastAsia="Times New Roman" w:cs="Times New Roman"/>
          <w:szCs w:val="18"/>
          <w:bdr w:val="nil"/>
        </w:rPr>
        <w:t xml:space="preserve">         </w:t>
      </w:r>
      <w:r w:rsidRPr="0005091D">
        <w:rPr>
          <w:szCs w:val="18"/>
          <w:bdr w:val="nil"/>
        </w:rPr>
        <w:t>de beklemde meier en</w:t>
      </w:r>
    </w:p>
    <w:p w14:paraId="5B8A2F46" w14:textId="77777777" w:rsidR="00CD4E8A" w:rsidRPr="0005091D" w:rsidRDefault="0005091D" w:rsidP="0005091D">
      <w:pPr>
        <w:ind w:left="770" w:hanging="360"/>
        <w:rPr>
          <w:rFonts w:eastAsia="Symbol" w:cs="Symbol"/>
          <w:szCs w:val="18"/>
          <w:bdr w:val="nil"/>
        </w:rPr>
      </w:pPr>
      <w:r w:rsidRPr="0005091D">
        <w:rPr>
          <w:rFonts w:eastAsia="Symbol" w:cs="Symbol"/>
          <w:szCs w:val="18"/>
          <w:bdr w:val="nil"/>
        </w:rPr>
        <w:t>·</w:t>
      </w:r>
      <w:r w:rsidRPr="0005091D">
        <w:rPr>
          <w:rFonts w:eastAsia="Times New Roman" w:cs="Times New Roman"/>
          <w:szCs w:val="18"/>
          <w:bdr w:val="nil"/>
        </w:rPr>
        <w:t xml:space="preserve">         </w:t>
      </w:r>
      <w:r w:rsidRPr="0005091D">
        <w:rPr>
          <w:szCs w:val="18"/>
          <w:bdr w:val="nil"/>
        </w:rPr>
        <w:t xml:space="preserve">het beperkt recht in de zin van artikel 5, derde lid, onderdeel b, van de Belemmeringenwet privaatrecht. </w:t>
      </w:r>
    </w:p>
    <w:p w14:paraId="5F447D86" w14:textId="77777777" w:rsidR="00CD4E8A" w:rsidRPr="0005091D" w:rsidRDefault="0005091D" w:rsidP="0005091D">
      <w:pPr>
        <w:rPr>
          <w:szCs w:val="18"/>
          <w:bdr w:val="nil"/>
        </w:rPr>
      </w:pPr>
      <w:r w:rsidRPr="0005091D">
        <w:rPr>
          <w:szCs w:val="18"/>
          <w:bdr w:val="nil"/>
        </w:rPr>
        <w:t> </w:t>
      </w:r>
    </w:p>
    <w:p w14:paraId="61906980" w14:textId="77777777" w:rsidR="00CD4E8A" w:rsidRPr="0005091D" w:rsidRDefault="0005091D" w:rsidP="0005091D">
      <w:pPr>
        <w:rPr>
          <w:szCs w:val="18"/>
          <w:bdr w:val="nil"/>
        </w:rPr>
      </w:pPr>
      <w:r w:rsidRPr="0005091D">
        <w:rPr>
          <w:szCs w:val="18"/>
          <w:bdr w:val="nil"/>
        </w:rPr>
        <w:t xml:space="preserve">Ingevolge artikel 119, eerste lid, van de Waterschapswet moet voor het antwoord op de vraag wie heffingplichtig is, van de basisregistratie kadaster worden uitgegaan: heffingplichtig is degene die bij het begin van het jaar als rechthebbende in deze basisregistratie is vermeld, tenzij het tegendeel blijkt. </w:t>
      </w:r>
    </w:p>
    <w:p w14:paraId="7C2C3BF2" w14:textId="39E9EE36" w:rsidR="00CD4E8A" w:rsidRDefault="0005091D" w:rsidP="0005091D">
      <w:pPr>
        <w:rPr>
          <w:szCs w:val="18"/>
          <w:bdr w:val="nil"/>
        </w:rPr>
      </w:pPr>
      <w:r w:rsidRPr="0005091D">
        <w:rPr>
          <w:szCs w:val="18"/>
          <w:bdr w:val="nil"/>
        </w:rPr>
        <w:t xml:space="preserve">Indien er naast eigendom ook sprake is van een beperkt recht of indien sprake is van meer dan één beperkt recht, is de vraag wie van de zakelijk gerechtigden in de heffing moet worden betrokken. Artikel 119, tweede en derde lid, geven voor deze situaties de rangorde aan. </w:t>
      </w:r>
    </w:p>
    <w:p w14:paraId="5E64697A" w14:textId="77777777" w:rsidR="008A23CC" w:rsidRPr="0005091D" w:rsidRDefault="008A23CC" w:rsidP="0005091D">
      <w:pPr>
        <w:rPr>
          <w:szCs w:val="18"/>
          <w:bdr w:val="nil"/>
        </w:rPr>
      </w:pPr>
    </w:p>
    <w:p w14:paraId="7E436558" w14:textId="77777777" w:rsidR="00CD4E8A" w:rsidRPr="0005091D" w:rsidRDefault="0005091D" w:rsidP="0005091D">
      <w:pPr>
        <w:rPr>
          <w:b/>
          <w:bCs/>
          <w:szCs w:val="18"/>
          <w:bdr w:val="nil"/>
        </w:rPr>
      </w:pPr>
      <w:r w:rsidRPr="0005091D">
        <w:rPr>
          <w:b/>
          <w:bCs/>
          <w:szCs w:val="18"/>
          <w:bdr w:val="nil"/>
        </w:rPr>
        <w:t>Verharde openbare wegen</w:t>
      </w:r>
    </w:p>
    <w:p w14:paraId="7A93E836" w14:textId="4EC6EB38" w:rsidR="00CD4E8A" w:rsidRPr="0005091D" w:rsidRDefault="0005091D" w:rsidP="0005091D">
      <w:pPr>
        <w:rPr>
          <w:b/>
          <w:bCs/>
          <w:szCs w:val="18"/>
          <w:bdr w:val="nil"/>
        </w:rPr>
      </w:pPr>
      <w:r w:rsidRPr="0005091D">
        <w:rPr>
          <w:b/>
          <w:bCs/>
          <w:szCs w:val="18"/>
          <w:bdr w:val="nil"/>
        </w:rPr>
        <w:t xml:space="preserve">In onderdeel </w:t>
      </w:r>
      <w:r w:rsidR="009D404C">
        <w:rPr>
          <w:b/>
          <w:bCs/>
          <w:szCs w:val="18"/>
          <w:bdr w:val="nil"/>
        </w:rPr>
        <w:t>g</w:t>
      </w:r>
      <w:r w:rsidRPr="0005091D">
        <w:rPr>
          <w:b/>
          <w:bCs/>
          <w:szCs w:val="18"/>
          <w:bdr w:val="nil"/>
        </w:rPr>
        <w:t xml:space="preserve"> </w:t>
      </w:r>
      <w:r w:rsidRPr="0005091D">
        <w:rPr>
          <w:szCs w:val="18"/>
          <w:bdr w:val="nil"/>
        </w:rPr>
        <w:t xml:space="preserve">is een definitie van het begrip verharde openbare wegen opgenomen. </w:t>
      </w:r>
    </w:p>
    <w:p w14:paraId="17405A94" w14:textId="77777777" w:rsidR="00CD4E8A" w:rsidRPr="0005091D" w:rsidRDefault="0005091D" w:rsidP="0005091D">
      <w:pPr>
        <w:pStyle w:val="Kop3"/>
        <w:spacing w:before="0" w:after="0"/>
        <w:rPr>
          <w:sz w:val="18"/>
          <w:szCs w:val="18"/>
          <w:bdr w:val="nil"/>
        </w:rPr>
      </w:pPr>
      <w:r w:rsidRPr="0005091D">
        <w:rPr>
          <w:sz w:val="18"/>
          <w:szCs w:val="18"/>
          <w:bdr w:val="nil"/>
        </w:rPr>
        <w:t> </w:t>
      </w:r>
    </w:p>
    <w:p w14:paraId="1ADF9617" w14:textId="77777777" w:rsidR="00CD4E8A" w:rsidRPr="0005091D" w:rsidRDefault="0005091D" w:rsidP="0005091D">
      <w:pPr>
        <w:pStyle w:val="Kop3"/>
        <w:spacing w:before="0" w:after="0"/>
        <w:rPr>
          <w:sz w:val="18"/>
          <w:szCs w:val="18"/>
          <w:bdr w:val="nil"/>
        </w:rPr>
      </w:pPr>
      <w:r w:rsidRPr="0005091D">
        <w:rPr>
          <w:sz w:val="18"/>
          <w:szCs w:val="18"/>
          <w:bdr w:val="nil"/>
        </w:rPr>
        <w:t>Artikel 2           Kostentoedeling watersysteembeheer</w:t>
      </w:r>
    </w:p>
    <w:p w14:paraId="0E8DBE49" w14:textId="77777777" w:rsidR="00CD4E8A" w:rsidRPr="0005091D" w:rsidRDefault="0005091D" w:rsidP="0005091D">
      <w:pPr>
        <w:rPr>
          <w:szCs w:val="18"/>
          <w:bdr w:val="nil"/>
        </w:rPr>
      </w:pPr>
      <w:r w:rsidRPr="0005091D">
        <w:rPr>
          <w:szCs w:val="18"/>
          <w:bdr w:val="nil"/>
        </w:rPr>
        <w:t xml:space="preserve">In artikel 2 is aangegeven wat het aandeel van iedere heffingplichtige categorie in de kosten van het watersysteembeheer is. Het aandeel wordt uitgedrukt in procenten. Artikel 2 vormt hiermee het kernartikel van de verordening. Het toedelen van kosten aan de categorieën geschiedt in twee stappen. In de eerste stap wordt het kostenaandeel van de categorie ingezetenen bepaald. In de tweede stap worden de kosten van de taakuitoefening die dan resteren over de categorieën ongebouwd niet zijnde natuur, natuur en gebouwd verdeeld. De waterschappen voeren zogenaamde kostentoedelingsonderzoeken uit. De uitkomsten van de kostentoedelingsonderzoeken vinden hun weerslag in de kostentoedelingsverordening. </w:t>
      </w:r>
    </w:p>
    <w:p w14:paraId="6EC9A665" w14:textId="77777777" w:rsidR="00CD4E8A" w:rsidRPr="0005091D" w:rsidRDefault="0005091D" w:rsidP="0005091D">
      <w:pPr>
        <w:rPr>
          <w:szCs w:val="18"/>
          <w:bdr w:val="nil"/>
        </w:rPr>
      </w:pPr>
      <w:r w:rsidRPr="0005091D">
        <w:rPr>
          <w:szCs w:val="18"/>
          <w:bdr w:val="nil"/>
        </w:rPr>
        <w:t> </w:t>
      </w:r>
    </w:p>
    <w:p w14:paraId="49017384" w14:textId="77777777" w:rsidR="00CD4E8A" w:rsidRPr="0005091D" w:rsidRDefault="0005091D" w:rsidP="0005091D">
      <w:pPr>
        <w:pStyle w:val="Kop3"/>
        <w:spacing w:before="0" w:after="0"/>
        <w:rPr>
          <w:sz w:val="18"/>
          <w:szCs w:val="18"/>
          <w:bdr w:val="nil"/>
        </w:rPr>
      </w:pPr>
      <w:r w:rsidRPr="0005091D">
        <w:rPr>
          <w:sz w:val="18"/>
          <w:szCs w:val="18"/>
          <w:bdr w:val="nil"/>
        </w:rPr>
        <w:t>Stap 1: Toedelen van kosten aan de categorie ingezetenen</w:t>
      </w:r>
    </w:p>
    <w:p w14:paraId="57B96E7C" w14:textId="77777777" w:rsidR="00CD4E8A" w:rsidRPr="0005091D" w:rsidRDefault="0005091D" w:rsidP="0005091D">
      <w:pPr>
        <w:rPr>
          <w:szCs w:val="18"/>
          <w:bdr w:val="nil"/>
        </w:rPr>
      </w:pPr>
      <w:r w:rsidRPr="0005091D">
        <w:rPr>
          <w:szCs w:val="18"/>
          <w:bdr w:val="nil"/>
        </w:rPr>
        <w:t xml:space="preserve">De eerste stap in het kostentoedelingsproces is het toedelen van watersysteemkosten aan de categorie ingezetenen. Dit gebeurtaan de hand van de gemiddelde inwonerdichtheid in het gebied van het waterschap. </w:t>
      </w:r>
      <w:r w:rsidRPr="0005091D">
        <w:rPr>
          <w:szCs w:val="18"/>
          <w:bdr w:val="nil"/>
        </w:rPr>
        <w:lastRenderedPageBreak/>
        <w:t>Voor het bepalen van de gemiddelde inwonerdichtheid wordt uitgegaan van het totaal aantal inwoners zoals dat blijkt uit de basisregistratie personen van de in het waterschapsgebied liggende gemeenten en de totale oppervlakte van het waterschapsgebied. De categorie ingezetenen draagt altijd voor ten minste 20% en ten hoogste 60% bij in de kosten van de taakuitoefening. Deze percentages worden ook in artikel 2, eerste lid, onderdeel a, van de modelverordening genoemd. Het exacte kostenaandeel in individuele gevallen is zoals gezegd afhankelijk van de gemiddelde inwonerdichtheid in het gebied van het waterschap. Het door een waterschap bij de kostentoedelingsverordening te bepalen kostenaandeel bedraagt:</w:t>
      </w:r>
    </w:p>
    <w:p w14:paraId="7FD07B96" w14:textId="77777777" w:rsidR="00CD4E8A" w:rsidRPr="0005091D" w:rsidRDefault="0005091D" w:rsidP="0005091D">
      <w:pPr>
        <w:ind w:left="340" w:hanging="340"/>
        <w:rPr>
          <w:rFonts w:eastAsia="Wingdings" w:cs="Wingdings"/>
          <w:szCs w:val="18"/>
          <w:bdr w:val="nil"/>
        </w:rPr>
      </w:pPr>
      <w:r w:rsidRPr="0005091D">
        <w:rPr>
          <w:rFonts w:eastAsia="Wingdings" w:cs="Wingdings"/>
          <w:szCs w:val="18"/>
          <w:bdr w:val="nil"/>
        </w:rPr>
        <w:t>§</w:t>
      </w:r>
      <w:r w:rsidRPr="0005091D">
        <w:rPr>
          <w:rFonts w:eastAsia="Times New Roman" w:cs="Times New Roman"/>
          <w:szCs w:val="18"/>
          <w:bdr w:val="nil"/>
        </w:rPr>
        <w:t xml:space="preserve">  </w:t>
      </w:r>
      <w:r w:rsidRPr="0005091D">
        <w:rPr>
          <w:szCs w:val="18"/>
          <w:bdr w:val="nil"/>
        </w:rPr>
        <w:t>indien het gemiddeld aantal inwoners per vierkante kilometer in het gebied van het waterschap 500 of minder is, minimaal 20 en maximaal 30%;</w:t>
      </w:r>
    </w:p>
    <w:p w14:paraId="7C2222F3" w14:textId="77777777" w:rsidR="00CD4E8A" w:rsidRPr="0005091D" w:rsidRDefault="0005091D" w:rsidP="0005091D">
      <w:pPr>
        <w:ind w:left="340" w:hanging="340"/>
        <w:rPr>
          <w:rFonts w:eastAsia="Wingdings" w:cs="Wingdings"/>
          <w:szCs w:val="18"/>
          <w:bdr w:val="nil"/>
        </w:rPr>
      </w:pPr>
      <w:r w:rsidRPr="0005091D">
        <w:rPr>
          <w:rFonts w:eastAsia="Wingdings" w:cs="Wingdings"/>
          <w:szCs w:val="18"/>
          <w:bdr w:val="nil"/>
        </w:rPr>
        <w:t>§</w:t>
      </w:r>
      <w:r w:rsidRPr="0005091D">
        <w:rPr>
          <w:rFonts w:eastAsia="Times New Roman" w:cs="Times New Roman"/>
          <w:szCs w:val="18"/>
          <w:bdr w:val="nil"/>
        </w:rPr>
        <w:t xml:space="preserve">  </w:t>
      </w:r>
      <w:r w:rsidRPr="0005091D">
        <w:rPr>
          <w:szCs w:val="18"/>
          <w:bdr w:val="nil"/>
        </w:rPr>
        <w:t xml:space="preserve">indien het gemiddeld aantal inwoners per vierkante kilometer in het gebied van het waterschap meer dan 500 maar minder dan 1000 is, minimaal 31 en maximaal 40%; </w:t>
      </w:r>
    </w:p>
    <w:p w14:paraId="44A3AF0D" w14:textId="77777777" w:rsidR="00CD4E8A" w:rsidRPr="0005091D" w:rsidRDefault="0005091D" w:rsidP="0005091D">
      <w:pPr>
        <w:ind w:left="340" w:hanging="340"/>
        <w:rPr>
          <w:rFonts w:eastAsia="Wingdings" w:cs="Wingdings"/>
          <w:szCs w:val="18"/>
          <w:bdr w:val="nil"/>
        </w:rPr>
      </w:pPr>
      <w:r w:rsidRPr="0005091D">
        <w:rPr>
          <w:rFonts w:eastAsia="Wingdings" w:cs="Wingdings"/>
          <w:szCs w:val="18"/>
          <w:bdr w:val="nil"/>
        </w:rPr>
        <w:t>§</w:t>
      </w:r>
      <w:r w:rsidRPr="0005091D">
        <w:rPr>
          <w:rFonts w:eastAsia="Times New Roman" w:cs="Times New Roman"/>
          <w:szCs w:val="18"/>
          <w:bdr w:val="nil"/>
        </w:rPr>
        <w:t xml:space="preserve">  </w:t>
      </w:r>
      <w:r w:rsidRPr="0005091D">
        <w:rPr>
          <w:szCs w:val="18"/>
          <w:bdr w:val="nil"/>
        </w:rPr>
        <w:t xml:space="preserve">indien de gemiddelde inwonerdichtheid meer dan 1000 is, minimaal 41 en maximaal 50%. </w:t>
      </w:r>
    </w:p>
    <w:p w14:paraId="567F596B" w14:textId="77777777" w:rsidR="00CD4E8A" w:rsidRPr="0005091D" w:rsidRDefault="0005091D" w:rsidP="0005091D">
      <w:pPr>
        <w:rPr>
          <w:szCs w:val="18"/>
          <w:bdr w:val="nil"/>
        </w:rPr>
      </w:pPr>
      <w:r w:rsidRPr="0005091D">
        <w:rPr>
          <w:szCs w:val="18"/>
          <w:bdr w:val="nil"/>
        </w:rPr>
        <w:t xml:space="preserve">Er is dus steeds sprake van een bandbreedte van 10% per inwonerdichtheidsklasse. Het algemeen bestuur van het waterschap moet binnen deze bandbreedte het exacte ingezetenenaandeel bepalen. Hoe dit gebeurt, behoort tot de bestuurlijke vrijheid van het waterschap. </w:t>
      </w:r>
    </w:p>
    <w:p w14:paraId="6E963396" w14:textId="77777777" w:rsidR="00CD4E8A" w:rsidRPr="0005091D" w:rsidRDefault="0005091D" w:rsidP="0005091D">
      <w:pPr>
        <w:rPr>
          <w:szCs w:val="18"/>
          <w:bdr w:val="nil"/>
        </w:rPr>
      </w:pPr>
      <w:r w:rsidRPr="0005091D">
        <w:rPr>
          <w:szCs w:val="18"/>
          <w:bdr w:val="nil"/>
        </w:rPr>
        <w:t> </w:t>
      </w:r>
    </w:p>
    <w:p w14:paraId="1345F9E8" w14:textId="77777777" w:rsidR="00CD4E8A" w:rsidRPr="0005091D" w:rsidRDefault="0005091D" w:rsidP="0005091D">
      <w:pPr>
        <w:pStyle w:val="Kop3"/>
        <w:spacing w:before="0" w:after="0"/>
        <w:rPr>
          <w:sz w:val="18"/>
          <w:szCs w:val="18"/>
          <w:bdr w:val="nil"/>
        </w:rPr>
      </w:pPr>
      <w:r w:rsidRPr="0005091D">
        <w:rPr>
          <w:sz w:val="18"/>
          <w:szCs w:val="18"/>
          <w:bdr w:val="nil"/>
        </w:rPr>
        <w:t>Verhogen maximale percentages ingezetenenaandeel</w:t>
      </w:r>
    </w:p>
    <w:p w14:paraId="7E90E8DB" w14:textId="65E2C833" w:rsidR="00CD4E8A" w:rsidRPr="0005091D" w:rsidRDefault="0005091D" w:rsidP="0005091D">
      <w:pPr>
        <w:rPr>
          <w:szCs w:val="18"/>
          <w:bdr w:val="nil"/>
        </w:rPr>
      </w:pPr>
      <w:r w:rsidRPr="0005091D">
        <w:rPr>
          <w:szCs w:val="18"/>
          <w:bdr w:val="nil"/>
        </w:rPr>
        <w:t xml:space="preserve">Zie voor een nadere beschouwing op dit onderwerp het Algemeen deel van deze toelichting. </w:t>
      </w:r>
    </w:p>
    <w:p w14:paraId="184226E0" w14:textId="77777777" w:rsidR="00CD4E8A" w:rsidRPr="0005091D" w:rsidRDefault="0005091D" w:rsidP="0005091D">
      <w:pPr>
        <w:rPr>
          <w:szCs w:val="18"/>
          <w:bdr w:val="nil"/>
        </w:rPr>
      </w:pPr>
      <w:r w:rsidRPr="0005091D">
        <w:rPr>
          <w:szCs w:val="18"/>
          <w:bdr w:val="nil"/>
        </w:rPr>
        <w:t> </w:t>
      </w:r>
    </w:p>
    <w:p w14:paraId="3CDA2908" w14:textId="77777777" w:rsidR="00CD4E8A" w:rsidRPr="0005091D" w:rsidRDefault="0005091D" w:rsidP="0005091D">
      <w:pPr>
        <w:pStyle w:val="Kop3"/>
        <w:spacing w:before="0" w:after="0"/>
        <w:rPr>
          <w:sz w:val="18"/>
          <w:szCs w:val="18"/>
          <w:bdr w:val="nil"/>
        </w:rPr>
      </w:pPr>
      <w:r w:rsidRPr="0005091D">
        <w:rPr>
          <w:sz w:val="18"/>
          <w:szCs w:val="18"/>
          <w:bdr w:val="nil"/>
        </w:rPr>
        <w:t xml:space="preserve">Stap 2: Toedelen van de resterende kosten aan de eigenaren van onroerende zaken </w:t>
      </w:r>
    </w:p>
    <w:p w14:paraId="1864E097" w14:textId="77777777" w:rsidR="00CD4E8A" w:rsidRPr="0005091D" w:rsidRDefault="0005091D" w:rsidP="0005091D">
      <w:pPr>
        <w:rPr>
          <w:szCs w:val="18"/>
          <w:bdr w:val="nil"/>
        </w:rPr>
      </w:pPr>
      <w:r w:rsidRPr="0005091D">
        <w:rPr>
          <w:szCs w:val="18"/>
          <w:bdr w:val="nil"/>
        </w:rPr>
        <w:t xml:space="preserve">Nadat is bepaald welk aandeel in de kosten door de categorie ingezetenen moet worden opgebracht, worden in de tweede stap van de kostentoedeling de resterende kosten van de taakuitoefening aan de categorieën ongebouwd niet zijnde natuur, natuur en gebouwd toegedeeld. Dit gebeurt op basis van de waarde van de onroerende zaken in het economische verkeer. De onderlinge waardeverhouding bepaalt ieders aandeel in de kosten. Het Waterschapsbesluit geeft nadere regels voor de waardebepaling. </w:t>
      </w:r>
    </w:p>
    <w:p w14:paraId="7108BBAC" w14:textId="77777777" w:rsidR="00CD4E8A" w:rsidRPr="0005091D" w:rsidRDefault="0005091D" w:rsidP="0005091D">
      <w:pPr>
        <w:rPr>
          <w:szCs w:val="18"/>
          <w:bdr w:val="nil"/>
        </w:rPr>
      </w:pPr>
      <w:r w:rsidRPr="0005091D">
        <w:rPr>
          <w:szCs w:val="18"/>
          <w:bdr w:val="nil"/>
        </w:rPr>
        <w:t> </w:t>
      </w:r>
    </w:p>
    <w:p w14:paraId="7714A5E0" w14:textId="77777777" w:rsidR="00CD4E8A" w:rsidRPr="0005091D" w:rsidRDefault="0005091D" w:rsidP="0005091D">
      <w:pPr>
        <w:pStyle w:val="Kop3"/>
        <w:spacing w:before="0" w:after="0"/>
        <w:rPr>
          <w:sz w:val="18"/>
          <w:szCs w:val="18"/>
          <w:bdr w:val="nil"/>
        </w:rPr>
      </w:pPr>
      <w:r w:rsidRPr="0005091D">
        <w:rPr>
          <w:sz w:val="18"/>
          <w:szCs w:val="18"/>
          <w:bdr w:val="nil"/>
        </w:rPr>
        <w:t xml:space="preserve">Waardebepaling categorie ongebouwde onroerende zaken die geen natuurterreinen zijn </w:t>
      </w:r>
    </w:p>
    <w:p w14:paraId="6E2C6DE5" w14:textId="77777777" w:rsidR="00CD4E8A" w:rsidRPr="0005091D" w:rsidRDefault="0005091D" w:rsidP="0005091D">
      <w:pPr>
        <w:rPr>
          <w:szCs w:val="18"/>
          <w:bdr w:val="nil"/>
        </w:rPr>
      </w:pPr>
      <w:r w:rsidRPr="0005091D">
        <w:rPr>
          <w:szCs w:val="18"/>
          <w:bdr w:val="nil"/>
        </w:rPr>
        <w:t>Deze categorie valt voor de waardebepaling uiteen in vijf ‘subcategorieën’, te weten:</w:t>
      </w:r>
    </w:p>
    <w:p w14:paraId="3980DD35" w14:textId="77777777" w:rsidR="00CD4E8A" w:rsidRPr="0005091D" w:rsidRDefault="0005091D" w:rsidP="0005091D">
      <w:pPr>
        <w:ind w:left="340" w:hanging="340"/>
        <w:rPr>
          <w:rFonts w:eastAsia="Wingdings" w:cs="Wingdings"/>
          <w:szCs w:val="18"/>
          <w:bdr w:val="nil"/>
        </w:rPr>
      </w:pPr>
      <w:r w:rsidRPr="0005091D">
        <w:rPr>
          <w:rFonts w:eastAsia="Wingdings" w:cs="Wingdings"/>
          <w:szCs w:val="18"/>
          <w:bdr w:val="nil"/>
        </w:rPr>
        <w:t>§</w:t>
      </w:r>
      <w:r w:rsidRPr="0005091D">
        <w:rPr>
          <w:rFonts w:eastAsia="Times New Roman" w:cs="Times New Roman"/>
          <w:szCs w:val="18"/>
          <w:bdr w:val="nil"/>
        </w:rPr>
        <w:t xml:space="preserve">  </w:t>
      </w:r>
      <w:r w:rsidRPr="0005091D">
        <w:rPr>
          <w:szCs w:val="18"/>
          <w:bdr w:val="nil"/>
        </w:rPr>
        <w:t>Agrarische gronden;</w:t>
      </w:r>
    </w:p>
    <w:p w14:paraId="1FB30D34" w14:textId="77777777" w:rsidR="00CD4E8A" w:rsidRPr="0005091D" w:rsidRDefault="0005091D" w:rsidP="0005091D">
      <w:pPr>
        <w:ind w:left="340" w:hanging="340"/>
        <w:rPr>
          <w:rFonts w:eastAsia="Wingdings" w:cs="Wingdings"/>
          <w:szCs w:val="18"/>
          <w:bdr w:val="nil"/>
        </w:rPr>
      </w:pPr>
      <w:r w:rsidRPr="0005091D">
        <w:rPr>
          <w:rFonts w:eastAsia="Wingdings" w:cs="Wingdings"/>
          <w:szCs w:val="18"/>
          <w:bdr w:val="nil"/>
        </w:rPr>
        <w:t>§</w:t>
      </w:r>
      <w:r w:rsidRPr="0005091D">
        <w:rPr>
          <w:rFonts w:eastAsia="Times New Roman" w:cs="Times New Roman"/>
          <w:szCs w:val="18"/>
          <w:bdr w:val="nil"/>
        </w:rPr>
        <w:t xml:space="preserve">  </w:t>
      </w:r>
      <w:r w:rsidRPr="0005091D">
        <w:rPr>
          <w:szCs w:val="18"/>
          <w:bdr w:val="nil"/>
        </w:rPr>
        <w:t>Openbare landwegen, inclusief kunstwerken;</w:t>
      </w:r>
    </w:p>
    <w:p w14:paraId="330E3A4A" w14:textId="77777777" w:rsidR="00CD4E8A" w:rsidRPr="0005091D" w:rsidRDefault="0005091D" w:rsidP="0005091D">
      <w:pPr>
        <w:ind w:left="340" w:hanging="340"/>
        <w:rPr>
          <w:rFonts w:eastAsia="Wingdings" w:cs="Wingdings"/>
          <w:szCs w:val="18"/>
          <w:bdr w:val="nil"/>
        </w:rPr>
      </w:pPr>
      <w:r w:rsidRPr="0005091D">
        <w:rPr>
          <w:rFonts w:eastAsia="Wingdings" w:cs="Wingdings"/>
          <w:szCs w:val="18"/>
          <w:bdr w:val="nil"/>
        </w:rPr>
        <w:t>§</w:t>
      </w:r>
      <w:r w:rsidRPr="0005091D">
        <w:rPr>
          <w:rFonts w:eastAsia="Times New Roman" w:cs="Times New Roman"/>
          <w:szCs w:val="18"/>
          <w:bdr w:val="nil"/>
        </w:rPr>
        <w:t xml:space="preserve">  </w:t>
      </w:r>
      <w:r w:rsidRPr="0005091D">
        <w:rPr>
          <w:szCs w:val="18"/>
          <w:bdr w:val="nil"/>
        </w:rPr>
        <w:t>Banen voor openbaar vervoer per rail, inclusief kunstwerken;</w:t>
      </w:r>
    </w:p>
    <w:p w14:paraId="43DEFDC7" w14:textId="77777777" w:rsidR="00CD4E8A" w:rsidRPr="0005091D" w:rsidRDefault="0005091D" w:rsidP="0005091D">
      <w:pPr>
        <w:ind w:left="340" w:hanging="340"/>
        <w:rPr>
          <w:rFonts w:eastAsia="Wingdings" w:cs="Wingdings"/>
          <w:szCs w:val="18"/>
          <w:bdr w:val="nil"/>
        </w:rPr>
      </w:pPr>
      <w:r w:rsidRPr="0005091D">
        <w:rPr>
          <w:rFonts w:eastAsia="Wingdings" w:cs="Wingdings"/>
          <w:szCs w:val="18"/>
          <w:bdr w:val="nil"/>
        </w:rPr>
        <w:t>§</w:t>
      </w:r>
      <w:r w:rsidRPr="0005091D">
        <w:rPr>
          <w:rFonts w:eastAsia="Times New Roman" w:cs="Times New Roman"/>
          <w:szCs w:val="18"/>
          <w:bdr w:val="nil"/>
        </w:rPr>
        <w:t xml:space="preserve">  </w:t>
      </w:r>
      <w:r w:rsidRPr="0005091D">
        <w:rPr>
          <w:szCs w:val="18"/>
          <w:bdr w:val="nil"/>
        </w:rPr>
        <w:t>Bouwpercelen en</w:t>
      </w:r>
    </w:p>
    <w:p w14:paraId="5CBA8D6A" w14:textId="77777777" w:rsidR="00CD4E8A" w:rsidRPr="0005091D" w:rsidRDefault="0005091D" w:rsidP="0005091D">
      <w:pPr>
        <w:ind w:left="340" w:hanging="340"/>
        <w:rPr>
          <w:rFonts w:eastAsia="Wingdings" w:cs="Wingdings"/>
          <w:szCs w:val="18"/>
          <w:bdr w:val="nil"/>
        </w:rPr>
      </w:pPr>
      <w:r w:rsidRPr="0005091D">
        <w:rPr>
          <w:rFonts w:eastAsia="Wingdings" w:cs="Wingdings"/>
          <w:szCs w:val="18"/>
          <w:bdr w:val="nil"/>
        </w:rPr>
        <w:t>§</w:t>
      </w:r>
      <w:r w:rsidRPr="0005091D">
        <w:rPr>
          <w:rFonts w:eastAsia="Times New Roman" w:cs="Times New Roman"/>
          <w:szCs w:val="18"/>
          <w:bdr w:val="nil"/>
        </w:rPr>
        <w:t xml:space="preserve">  </w:t>
      </w:r>
      <w:r w:rsidRPr="0005091D">
        <w:rPr>
          <w:szCs w:val="18"/>
          <w:bdr w:val="nil"/>
        </w:rPr>
        <w:t xml:space="preserve">Overige ongebouwde onroerende zaken. </w:t>
      </w:r>
    </w:p>
    <w:p w14:paraId="7BCFF857" w14:textId="77777777" w:rsidR="00CD4E8A" w:rsidRPr="0005091D" w:rsidRDefault="0005091D" w:rsidP="0005091D">
      <w:pPr>
        <w:rPr>
          <w:szCs w:val="18"/>
          <w:bdr w:val="nil"/>
        </w:rPr>
      </w:pPr>
      <w:r w:rsidRPr="0005091D">
        <w:rPr>
          <w:szCs w:val="18"/>
          <w:bdr w:val="nil"/>
        </w:rPr>
        <w:t xml:space="preserve">Voor deze onderverdeling is gekozen omdat tussen de groepen zowel de wijze van waardebepaling als de waarde per hectare verschilt. </w:t>
      </w:r>
    </w:p>
    <w:p w14:paraId="747723D4" w14:textId="77777777" w:rsidR="00CD4E8A" w:rsidRPr="0005091D" w:rsidRDefault="0005091D" w:rsidP="0005091D">
      <w:pPr>
        <w:rPr>
          <w:szCs w:val="18"/>
          <w:bdr w:val="nil"/>
        </w:rPr>
      </w:pPr>
      <w:r w:rsidRPr="0005091D">
        <w:rPr>
          <w:szCs w:val="18"/>
          <w:bdr w:val="nil"/>
        </w:rPr>
        <w:t xml:space="preserve">Van elke subcategorie moet de waarde worden bepaald. Dit gebeurt globaal, wat in dit geval betekent dat het waterschap niet van elk individueel object dat tot de betreffende subcategorie behoort een exacte waarde hoeft te bepalen. Volstaan kan worden met het bepalen van de gemiddelde waarde van het geheel aan onroerende zaken dat tot de betreffende categorie behoort. Om tot de waarde van een subcategorie te komen, wordt haar oppervlakte vermenigvuldigd met de gemiddelde waarde per hectare. De optelsom van de waarden van de subcategorieën is de totale waarde van de categorie ongebouwd, niet zijnde natuur. </w:t>
      </w:r>
    </w:p>
    <w:p w14:paraId="19A67088" w14:textId="77777777" w:rsidR="00CD4E8A" w:rsidRPr="0005091D" w:rsidRDefault="0005091D" w:rsidP="0005091D">
      <w:pPr>
        <w:rPr>
          <w:szCs w:val="18"/>
          <w:bdr w:val="nil"/>
        </w:rPr>
      </w:pPr>
      <w:r w:rsidRPr="0005091D">
        <w:rPr>
          <w:szCs w:val="18"/>
          <w:bdr w:val="nil"/>
        </w:rPr>
        <w:t> </w:t>
      </w:r>
    </w:p>
    <w:p w14:paraId="2137D644" w14:textId="77777777" w:rsidR="00CD4E8A" w:rsidRPr="0005091D" w:rsidRDefault="0005091D" w:rsidP="0005091D">
      <w:pPr>
        <w:pStyle w:val="Kop3"/>
        <w:spacing w:before="0" w:after="0"/>
        <w:ind w:left="720" w:hanging="360"/>
        <w:rPr>
          <w:rFonts w:eastAsia="Symbol" w:cs="Symbol"/>
          <w:b w:val="0"/>
          <w:bCs w:val="0"/>
          <w:sz w:val="18"/>
          <w:szCs w:val="18"/>
          <w:bdr w:val="nil"/>
        </w:rPr>
      </w:pPr>
      <w:r w:rsidRPr="0005091D">
        <w:rPr>
          <w:rFonts w:eastAsia="Symbol" w:cs="Symbol"/>
          <w:b w:val="0"/>
          <w:bCs w:val="0"/>
          <w:sz w:val="18"/>
          <w:szCs w:val="18"/>
          <w:bdr w:val="nil"/>
        </w:rPr>
        <w:t>·</w:t>
      </w:r>
      <w:r w:rsidRPr="0005091D">
        <w:rPr>
          <w:rFonts w:eastAsia="Times New Roman" w:cs="Times New Roman"/>
          <w:b w:val="0"/>
          <w:bCs w:val="0"/>
          <w:sz w:val="18"/>
          <w:szCs w:val="18"/>
          <w:bdr w:val="nil"/>
        </w:rPr>
        <w:t xml:space="preserve">         </w:t>
      </w:r>
      <w:r w:rsidRPr="0005091D">
        <w:rPr>
          <w:b w:val="0"/>
          <w:bCs w:val="0"/>
          <w:i/>
          <w:sz w:val="18"/>
          <w:szCs w:val="18"/>
          <w:bdr w:val="nil"/>
        </w:rPr>
        <w:t>Waardebepaling agrarische gronden</w:t>
      </w:r>
    </w:p>
    <w:p w14:paraId="7623C5C4" w14:textId="77777777" w:rsidR="00CD4E8A" w:rsidRPr="0005091D" w:rsidRDefault="0005091D" w:rsidP="0005091D">
      <w:pPr>
        <w:rPr>
          <w:szCs w:val="18"/>
          <w:bdr w:val="nil"/>
        </w:rPr>
      </w:pPr>
      <w:r w:rsidRPr="0005091D">
        <w:rPr>
          <w:szCs w:val="18"/>
          <w:bdr w:val="nil"/>
        </w:rPr>
        <w:t>Onder agrarische grond wordt ingevolge artikel 6.1, onder a, van het Waterschapsbesluit de ten behoeve van de landbouw als bedoeld in artikel 312 van Boek 7 van het BW, bedrijfsmatig geëxploiteerde cultuurgrond verstaan, voor zover deze niet de ondergrond vormt van gebouwde eigendommen. Natte veenweidegebieden behoren ook tot de categorie agrarische gronden. Bossen behoren er niet toe; zij worden op grond van artikel 116, onder c, van de Waterschapswet tot de categorie natuurterreinen gerekend. De ondergrond van glasopstanden kwalificeert evenmin als agrarische grond, maar is tezamen met de glasopstand zelf een gebouwde onroerende zaak.</w:t>
      </w:r>
    </w:p>
    <w:p w14:paraId="5566F2F4" w14:textId="77777777" w:rsidR="00CD4E8A" w:rsidRPr="0005091D" w:rsidRDefault="0005091D" w:rsidP="0005091D">
      <w:pPr>
        <w:rPr>
          <w:szCs w:val="18"/>
          <w:bdr w:val="nil"/>
        </w:rPr>
      </w:pPr>
      <w:r w:rsidRPr="0005091D">
        <w:rPr>
          <w:szCs w:val="18"/>
          <w:bdr w:val="nil"/>
        </w:rPr>
        <w:t>De gemiddelde waarde per hectare van de agrarische gronden wordt bepaald op basis van of afgeleid uit verkooptransacties van deze gronden in het gebied van het waterschap. Het Waterschapsbesluit zegt in artikel 6.5, tweede lid, dat de waarde wordt bepaald op de waarde die aan de gronden moet worden toegekend indien de volle en onbezwaarde eigendom daarvan zou kunnen worden overgedragen en de gronden als agrarische gronden in gebruik zouden blijven. Dit betekent dat transacties waarbij geen marktconforme prijs tot stand is gekomen (dit kan bij transacties in de familiesfeer het geval zijn), niet in de berekeningen mogen worden meegenomen. Verder dient bij de waardebepaling geen rekening te worden gehouden met de waardedrukkende invloed die uitgaat van eventuele beperkte rechten die op de onroerende zaak rusten. Hetzelfde geldt voor verpachte gronden. In de praktijk wordt voor de waarde van agrarische gronden aangesloten bij openbare gegevens.  </w:t>
      </w:r>
    </w:p>
    <w:p w14:paraId="69835321" w14:textId="77777777" w:rsidR="00CD4E8A" w:rsidRPr="0005091D" w:rsidRDefault="0005091D" w:rsidP="0005091D">
      <w:pPr>
        <w:rPr>
          <w:szCs w:val="18"/>
          <w:bdr w:val="nil"/>
        </w:rPr>
      </w:pPr>
      <w:r w:rsidRPr="0005091D">
        <w:rPr>
          <w:szCs w:val="18"/>
          <w:bdr w:val="nil"/>
        </w:rPr>
        <w:t> </w:t>
      </w:r>
    </w:p>
    <w:p w14:paraId="6E1906AE" w14:textId="77777777" w:rsidR="00CD4E8A" w:rsidRPr="0005091D" w:rsidRDefault="0005091D" w:rsidP="0005091D">
      <w:pPr>
        <w:pStyle w:val="Kop3"/>
        <w:spacing w:before="0" w:after="0"/>
        <w:ind w:left="720" w:hanging="360"/>
        <w:rPr>
          <w:rFonts w:eastAsia="Symbol" w:cs="Symbol"/>
          <w:b w:val="0"/>
          <w:bCs w:val="0"/>
          <w:sz w:val="18"/>
          <w:szCs w:val="18"/>
          <w:bdr w:val="nil"/>
        </w:rPr>
      </w:pPr>
      <w:r w:rsidRPr="0005091D">
        <w:rPr>
          <w:rFonts w:eastAsia="Symbol" w:cs="Symbol"/>
          <w:b w:val="0"/>
          <w:bCs w:val="0"/>
          <w:sz w:val="18"/>
          <w:szCs w:val="18"/>
          <w:bdr w:val="nil"/>
        </w:rPr>
        <w:lastRenderedPageBreak/>
        <w:t>·</w:t>
      </w:r>
      <w:r w:rsidRPr="0005091D">
        <w:rPr>
          <w:rFonts w:eastAsia="Times New Roman" w:cs="Times New Roman"/>
          <w:b w:val="0"/>
          <w:bCs w:val="0"/>
          <w:sz w:val="18"/>
          <w:szCs w:val="18"/>
          <w:bdr w:val="nil"/>
        </w:rPr>
        <w:t xml:space="preserve">         </w:t>
      </w:r>
      <w:r w:rsidRPr="0005091D">
        <w:rPr>
          <w:b w:val="0"/>
          <w:bCs w:val="0"/>
          <w:i/>
          <w:sz w:val="18"/>
          <w:szCs w:val="18"/>
          <w:bdr w:val="nil"/>
        </w:rPr>
        <w:t>Waardebepaling ‘openbare landwegen en banen voor openbaar vervoer per rail, inclusief kunstwerken</w:t>
      </w:r>
    </w:p>
    <w:p w14:paraId="51223E6A" w14:textId="77777777" w:rsidR="00CD4E8A" w:rsidRPr="0005091D" w:rsidRDefault="0005091D" w:rsidP="0005091D">
      <w:pPr>
        <w:rPr>
          <w:szCs w:val="18"/>
          <w:bdr w:val="nil"/>
        </w:rPr>
      </w:pPr>
      <w:r w:rsidRPr="0005091D">
        <w:rPr>
          <w:szCs w:val="18"/>
          <w:bdr w:val="nil"/>
        </w:rPr>
        <w:t xml:space="preserve">Het Waterschapsbesluit noemt de openbare landwegen (inclusief kunstwerken) en de banen voor openbaar vervoer per rail (inclusief kunstwerken) apart van elkaar. In feite is voor de kostentoedeling dus sprake van twee afzonderlijke ‘subcategorieën’. Omdat de wijze waarop de waarde van deze subcategorieën wordt bepaald aan elkaar gelijk is, worden ze in deze toelichting gezamenlijk besproken. </w:t>
      </w:r>
    </w:p>
    <w:p w14:paraId="29C1566E" w14:textId="77777777" w:rsidR="00CD4E8A" w:rsidRPr="0005091D" w:rsidRDefault="0005091D" w:rsidP="0005091D">
      <w:pPr>
        <w:rPr>
          <w:szCs w:val="18"/>
          <w:bdr w:val="nil"/>
        </w:rPr>
      </w:pPr>
      <w:r w:rsidRPr="0005091D">
        <w:rPr>
          <w:szCs w:val="18"/>
          <w:bdr w:val="nil"/>
        </w:rPr>
        <w:t> </w:t>
      </w:r>
    </w:p>
    <w:p w14:paraId="791D7F57" w14:textId="77777777" w:rsidR="00CD4E8A" w:rsidRPr="0005091D" w:rsidRDefault="0005091D" w:rsidP="0005091D">
      <w:pPr>
        <w:rPr>
          <w:szCs w:val="18"/>
          <w:bdr w:val="nil"/>
        </w:rPr>
      </w:pPr>
      <w:r w:rsidRPr="0005091D">
        <w:rPr>
          <w:szCs w:val="18"/>
          <w:bdr w:val="nil"/>
        </w:rPr>
        <w:t xml:space="preserve">Bij de waardebepaling van openbare landwegen (wegen) en banen voor openbaar vervoer per rail (spoorbanen) worden behalve de wegen en spoorbanen zelf ook verkeersvoorzieningen en kunstwerken betrokken. Bij verkeersvoorzieningen moet worden gedacht aan grond die dienstbaar is aan het verkeer over de weg (grond die een bijdrage levert aan de verkeerskundige functionaliteit van de weg), zoals tussenbermen, geluidswerende voorzieningen, obstakelvrije zone’s, bermsloten, e.d. Anders dan voor de toepassing van de tariefdifferentiatie voor verharde openbare wegen het geval is, is op het niveau van de kostentoedeling niet relevant of grond die dienstbaar is aan het verkeer over de weg, al dan niet verhard is. Ook dienstbare maar eventueel niet verharde (tussen)bermen en obstakelvrije zone’s maken dus deel uit van de weg.   </w:t>
      </w:r>
    </w:p>
    <w:p w14:paraId="7BAB3472" w14:textId="77777777" w:rsidR="00CD4E8A" w:rsidRPr="0005091D" w:rsidRDefault="0005091D" w:rsidP="0005091D">
      <w:pPr>
        <w:rPr>
          <w:szCs w:val="18"/>
          <w:bdr w:val="nil"/>
        </w:rPr>
      </w:pPr>
      <w:r w:rsidRPr="0005091D">
        <w:rPr>
          <w:szCs w:val="18"/>
          <w:bdr w:val="nil"/>
        </w:rPr>
        <w:t xml:space="preserve">Voorbeelden van kunstwerken zijn bruggen, viaducten en tunnels. </w:t>
      </w:r>
    </w:p>
    <w:p w14:paraId="720805C1" w14:textId="77777777" w:rsidR="00CD4E8A" w:rsidRPr="0005091D" w:rsidRDefault="0005091D" w:rsidP="0005091D">
      <w:pPr>
        <w:rPr>
          <w:szCs w:val="18"/>
          <w:bdr w:val="nil"/>
        </w:rPr>
      </w:pPr>
      <w:r w:rsidRPr="0005091D">
        <w:rPr>
          <w:szCs w:val="18"/>
          <w:bdr w:val="nil"/>
        </w:rPr>
        <w:t> </w:t>
      </w:r>
    </w:p>
    <w:p w14:paraId="38D19F32" w14:textId="77777777" w:rsidR="00CD4E8A" w:rsidRPr="0005091D" w:rsidRDefault="0005091D" w:rsidP="0005091D">
      <w:pPr>
        <w:rPr>
          <w:szCs w:val="18"/>
          <w:bdr w:val="nil"/>
        </w:rPr>
      </w:pPr>
      <w:r w:rsidRPr="0005091D">
        <w:rPr>
          <w:szCs w:val="18"/>
          <w:bdr w:val="nil"/>
        </w:rPr>
        <w:t xml:space="preserve">De gemiddelde waarde per hectare weg of spoorbaan wordt gesteld op de vervangingswaarde. Dit is het bedrag dat met de herbouw van een identiek vervangend object gepaard zou gaan, waarbij rekening moet worden gehouden met een correctiefactor voor technische en functionele veroudering. Om te voorkomen dat de waterschappen van geval tot geval steeds zelf deze correctiefactor zouden moeten bepalen, is de correctiefactor in het Waterschapsbesluit zelf vastgelegd. De factor bedraagt 25%. </w:t>
      </w:r>
    </w:p>
    <w:p w14:paraId="5CD51229" w14:textId="77777777" w:rsidR="00CD4E8A" w:rsidRPr="0005091D" w:rsidRDefault="0005091D" w:rsidP="0005091D">
      <w:pPr>
        <w:rPr>
          <w:szCs w:val="18"/>
          <w:bdr w:val="nil"/>
        </w:rPr>
      </w:pPr>
      <w:r w:rsidRPr="0005091D">
        <w:rPr>
          <w:szCs w:val="18"/>
          <w:bdr w:val="nil"/>
        </w:rPr>
        <w:t xml:space="preserve">De Taxatiewijzer voor de waardebepaling van openbare wegen en spoorwegen (taxatiewijzer wegen, uitgegeven door de Unie van Waterschappen) bevat handreikingen en een rekenmodel voor de waardebepaling. </w:t>
      </w:r>
    </w:p>
    <w:p w14:paraId="7526964B" w14:textId="77777777" w:rsidR="00CD4E8A" w:rsidRPr="0005091D" w:rsidRDefault="0005091D" w:rsidP="0005091D">
      <w:pPr>
        <w:rPr>
          <w:szCs w:val="18"/>
          <w:bdr w:val="nil"/>
        </w:rPr>
      </w:pPr>
      <w:r w:rsidRPr="0005091D">
        <w:rPr>
          <w:szCs w:val="18"/>
          <w:bdr w:val="nil"/>
        </w:rPr>
        <w:t> </w:t>
      </w:r>
    </w:p>
    <w:p w14:paraId="6460AE8F" w14:textId="77777777" w:rsidR="00CD4E8A" w:rsidRPr="0005091D" w:rsidRDefault="0005091D" w:rsidP="0005091D">
      <w:pPr>
        <w:pStyle w:val="Kop3"/>
        <w:spacing w:before="0" w:after="0"/>
        <w:ind w:left="720" w:hanging="360"/>
        <w:rPr>
          <w:rFonts w:eastAsia="Symbol" w:cs="Symbol"/>
          <w:b w:val="0"/>
          <w:bCs w:val="0"/>
          <w:sz w:val="18"/>
          <w:szCs w:val="18"/>
          <w:bdr w:val="nil"/>
        </w:rPr>
      </w:pPr>
      <w:r w:rsidRPr="0005091D">
        <w:rPr>
          <w:rFonts w:eastAsia="Symbol" w:cs="Symbol"/>
          <w:b w:val="0"/>
          <w:bCs w:val="0"/>
          <w:sz w:val="18"/>
          <w:szCs w:val="18"/>
          <w:bdr w:val="nil"/>
        </w:rPr>
        <w:t>·</w:t>
      </w:r>
      <w:r w:rsidRPr="0005091D">
        <w:rPr>
          <w:rFonts w:eastAsia="Times New Roman" w:cs="Times New Roman"/>
          <w:b w:val="0"/>
          <w:bCs w:val="0"/>
          <w:sz w:val="18"/>
          <w:szCs w:val="18"/>
          <w:bdr w:val="nil"/>
        </w:rPr>
        <w:t xml:space="preserve">         </w:t>
      </w:r>
      <w:r w:rsidRPr="0005091D">
        <w:rPr>
          <w:b w:val="0"/>
          <w:bCs w:val="0"/>
          <w:i/>
          <w:sz w:val="18"/>
          <w:szCs w:val="18"/>
          <w:bdr w:val="nil"/>
        </w:rPr>
        <w:t>Waardebepaling bouwpercelen</w:t>
      </w:r>
    </w:p>
    <w:p w14:paraId="6C1592C4" w14:textId="77777777" w:rsidR="00CD4E8A" w:rsidRPr="0005091D" w:rsidRDefault="0005091D" w:rsidP="0005091D">
      <w:pPr>
        <w:pStyle w:val="Kop3"/>
        <w:spacing w:before="0" w:after="0"/>
        <w:rPr>
          <w:b w:val="0"/>
          <w:bCs w:val="0"/>
          <w:sz w:val="18"/>
          <w:szCs w:val="18"/>
          <w:bdr w:val="nil"/>
        </w:rPr>
      </w:pPr>
      <w:r w:rsidRPr="0005091D">
        <w:rPr>
          <w:b w:val="0"/>
          <w:bCs w:val="0"/>
          <w:sz w:val="18"/>
          <w:szCs w:val="18"/>
          <w:bdr w:val="nil"/>
        </w:rPr>
        <w:t xml:space="preserve">Bouwpercelen zijn ongebouwde, al dan niet bouwrijp gemaakte percelen, waarop gebouwd mag worden (artikel 6.1, onder b, Waterschapsbesluit). Alhoewel bouwpercelen (tot het moment waarop bouwactiviteiten aanvangen) ongebouwde onroerende zaken zijn, moeten de gemeenten er wel een WOZ-waarde voor bepalen. Bouwpercelen zijn immers niet opgenomen in de Uitvoeringsregeling uitgezonderde objecten Wet WOZ (Regeling van 23 december 1994, Stcrt. 1994, 252, zoals laatstelijk gewijzigd op 20 december 2007, Stcrt. 2007, 251).  Voor de waarde van bouwpercelen wordt dan ook uitgegaan van de vastgestelde WOZ-waarden ( artikel 6.7, Waterschapsbesluit). </w:t>
      </w:r>
    </w:p>
    <w:p w14:paraId="12AC5BD9" w14:textId="77777777" w:rsidR="00CD4E8A" w:rsidRPr="0005091D" w:rsidRDefault="0005091D" w:rsidP="0005091D">
      <w:pPr>
        <w:rPr>
          <w:szCs w:val="18"/>
          <w:bdr w:val="nil"/>
        </w:rPr>
      </w:pPr>
      <w:r w:rsidRPr="0005091D">
        <w:rPr>
          <w:szCs w:val="18"/>
          <w:bdr w:val="nil"/>
        </w:rPr>
        <w:t> </w:t>
      </w:r>
    </w:p>
    <w:p w14:paraId="794C4402" w14:textId="77777777" w:rsidR="00CD4E8A" w:rsidRPr="0005091D" w:rsidRDefault="0005091D" w:rsidP="0005091D">
      <w:pPr>
        <w:pStyle w:val="Kop3"/>
        <w:spacing w:before="0" w:after="0"/>
        <w:ind w:left="720" w:hanging="360"/>
        <w:rPr>
          <w:rFonts w:eastAsia="Symbol" w:cs="Symbol"/>
          <w:b w:val="0"/>
          <w:bCs w:val="0"/>
          <w:sz w:val="18"/>
          <w:szCs w:val="18"/>
          <w:bdr w:val="nil"/>
        </w:rPr>
      </w:pPr>
      <w:r w:rsidRPr="0005091D">
        <w:rPr>
          <w:rFonts w:eastAsia="Symbol" w:cs="Symbol"/>
          <w:b w:val="0"/>
          <w:bCs w:val="0"/>
          <w:sz w:val="18"/>
          <w:szCs w:val="18"/>
          <w:bdr w:val="nil"/>
        </w:rPr>
        <w:t>·</w:t>
      </w:r>
      <w:r w:rsidRPr="0005091D">
        <w:rPr>
          <w:rFonts w:eastAsia="Times New Roman" w:cs="Times New Roman"/>
          <w:b w:val="0"/>
          <w:bCs w:val="0"/>
          <w:sz w:val="18"/>
          <w:szCs w:val="18"/>
          <w:bdr w:val="nil"/>
        </w:rPr>
        <w:t xml:space="preserve">         </w:t>
      </w:r>
      <w:r w:rsidRPr="0005091D">
        <w:rPr>
          <w:b w:val="0"/>
          <w:bCs w:val="0"/>
          <w:i/>
          <w:sz w:val="18"/>
          <w:szCs w:val="18"/>
          <w:bdr w:val="nil"/>
        </w:rPr>
        <w:t>Waardebepaling overige ongebouwde onroerende zaken</w:t>
      </w:r>
    </w:p>
    <w:p w14:paraId="7DD9F90F" w14:textId="77777777" w:rsidR="00CD4E8A" w:rsidRPr="0005091D" w:rsidRDefault="0005091D" w:rsidP="0005091D">
      <w:pPr>
        <w:rPr>
          <w:szCs w:val="18"/>
          <w:bdr w:val="nil"/>
        </w:rPr>
      </w:pPr>
      <w:r w:rsidRPr="0005091D">
        <w:rPr>
          <w:szCs w:val="18"/>
          <w:bdr w:val="nil"/>
        </w:rPr>
        <w:t xml:space="preserve">De subcategorie overige ongebouwde onroerende zaken is een echte restcategorie waartoe alle ongebouwde onroerende zaken behoren die niet in een van de voorgaande subcategorieën zijn onder te brengen. Tot de subcategorie overige ongebouwde onroerende zaken behoren onder andere volkstuinen, begraafplaatsen, openbare parken en plantsoenen en recreatie- en </w:t>
      </w:r>
    </w:p>
    <w:p w14:paraId="2E34A9DD" w14:textId="77777777" w:rsidR="00CD4E8A" w:rsidRPr="0005091D" w:rsidRDefault="0005091D" w:rsidP="0005091D">
      <w:pPr>
        <w:rPr>
          <w:szCs w:val="18"/>
          <w:bdr w:val="nil"/>
        </w:rPr>
      </w:pPr>
      <w:r w:rsidRPr="0005091D">
        <w:rPr>
          <w:szCs w:val="18"/>
          <w:bdr w:val="nil"/>
        </w:rPr>
        <w:t xml:space="preserve">sportterreinen, voor zover zij althans niet op grond van artikel 118, lid 2, van de Waterschapswet deel uitmaken van een gebouwd eigendom. Om redenen van eenvoud heeft de wetgever ervoor gekozen om voor de gemiddelde waarde per hectare aan te sluiten bij de gemiddelde waarde per hectare van de agrarische gronden in het gebied van het waterschap. </w:t>
      </w:r>
    </w:p>
    <w:p w14:paraId="35654F0A" w14:textId="77777777" w:rsidR="00CD4E8A" w:rsidRPr="0005091D" w:rsidRDefault="0005091D" w:rsidP="0005091D">
      <w:pPr>
        <w:pStyle w:val="Kop3"/>
        <w:spacing w:before="0" w:after="0"/>
        <w:rPr>
          <w:sz w:val="18"/>
          <w:szCs w:val="18"/>
          <w:u w:val="single"/>
          <w:bdr w:val="nil"/>
        </w:rPr>
      </w:pPr>
      <w:r w:rsidRPr="0005091D">
        <w:rPr>
          <w:sz w:val="18"/>
          <w:szCs w:val="18"/>
          <w:u w:val="single"/>
          <w:bdr w:val="nil"/>
        </w:rPr>
        <w:t> </w:t>
      </w:r>
    </w:p>
    <w:p w14:paraId="0A95FE9D" w14:textId="77777777" w:rsidR="00CD4E8A" w:rsidRPr="0005091D" w:rsidRDefault="0005091D" w:rsidP="0005091D">
      <w:pPr>
        <w:pStyle w:val="Kop3"/>
        <w:spacing w:before="0" w:after="0"/>
        <w:rPr>
          <w:sz w:val="18"/>
          <w:szCs w:val="18"/>
          <w:bdr w:val="nil"/>
        </w:rPr>
      </w:pPr>
      <w:r w:rsidRPr="0005091D">
        <w:rPr>
          <w:sz w:val="18"/>
          <w:szCs w:val="18"/>
          <w:bdr w:val="nil"/>
        </w:rPr>
        <w:t>Waardebepaling categorie natuurterreinen</w:t>
      </w:r>
    </w:p>
    <w:p w14:paraId="3755878E" w14:textId="77777777" w:rsidR="00CD4E8A" w:rsidRPr="0005091D" w:rsidRDefault="0005091D" w:rsidP="0005091D">
      <w:pPr>
        <w:rPr>
          <w:szCs w:val="18"/>
          <w:bdr w:val="nil"/>
        </w:rPr>
      </w:pPr>
      <w:r w:rsidRPr="0005091D">
        <w:rPr>
          <w:szCs w:val="18"/>
          <w:bdr w:val="nil"/>
        </w:rPr>
        <w:t xml:space="preserve">Ook voor de categorie natuurterreinen moet in het kader van de kostentoedeling een waarde worden vastgesteld. Natuurterreinen zijn in artikel 116, onderdeel c, van de Waterschapswet gedefinieerd als “ongebouwde onroerende zaken waarvan de inrichting en het beheer geheel of nagenoeg geheel en duurzaam zijn afgestemd op het behoud of de ontwikkeling van natuur. Onder natuurterreinen worden mede verstaan bossen en open wateren met een oppervlakte van ten minste één hectare”. </w:t>
      </w:r>
    </w:p>
    <w:p w14:paraId="673E271A" w14:textId="77777777" w:rsidR="00CD4E8A" w:rsidRPr="0005091D" w:rsidRDefault="0005091D" w:rsidP="0005091D">
      <w:pPr>
        <w:rPr>
          <w:szCs w:val="18"/>
          <w:bdr w:val="nil"/>
        </w:rPr>
      </w:pPr>
      <w:r w:rsidRPr="0005091D">
        <w:rPr>
          <w:szCs w:val="18"/>
          <w:bdr w:val="nil"/>
        </w:rPr>
        <w:t xml:space="preserve">Onder andere heidevelden, moerassen, zandverstuivingen en duingebieden behoren tot de categorie natuurterreinen. In de regel zullen stadsparken, plantsoenen, e.d. vanwege hun recreatieve functie niet als een natuurgebied kunnen worden aangemerkt. Bij open wateren moet worden gedacht aan vennen, meren, plassen en daarmee vergelijkbare wateren met een open en weids karakter. </w:t>
      </w:r>
    </w:p>
    <w:p w14:paraId="566F0C73" w14:textId="77777777" w:rsidR="00CD4E8A" w:rsidRPr="0005091D" w:rsidRDefault="0005091D" w:rsidP="0005091D">
      <w:pPr>
        <w:rPr>
          <w:szCs w:val="18"/>
          <w:bdr w:val="nil"/>
        </w:rPr>
      </w:pPr>
      <w:r w:rsidRPr="0005091D">
        <w:rPr>
          <w:szCs w:val="18"/>
          <w:bdr w:val="nil"/>
        </w:rPr>
        <w:t xml:space="preserve">De gemiddelde waarde per hectare van natuurterreinen bedraagt 20% van de gemiddelde waarde per hectare van de agrarische gronden in het gebied van het waterschap. </w:t>
      </w:r>
    </w:p>
    <w:p w14:paraId="7D3D8937" w14:textId="77777777" w:rsidR="00CD4E8A" w:rsidRPr="0005091D" w:rsidRDefault="0005091D" w:rsidP="0005091D">
      <w:pPr>
        <w:rPr>
          <w:szCs w:val="18"/>
          <w:bdr w:val="nil"/>
        </w:rPr>
      </w:pPr>
      <w:r w:rsidRPr="0005091D">
        <w:rPr>
          <w:szCs w:val="18"/>
          <w:bdr w:val="nil"/>
        </w:rPr>
        <w:t> </w:t>
      </w:r>
    </w:p>
    <w:p w14:paraId="3CC60355" w14:textId="77777777" w:rsidR="00CD4E8A" w:rsidRPr="0005091D" w:rsidRDefault="0005091D" w:rsidP="0005091D">
      <w:pPr>
        <w:rPr>
          <w:szCs w:val="18"/>
          <w:bdr w:val="nil"/>
        </w:rPr>
      </w:pPr>
      <w:r w:rsidRPr="0005091D">
        <w:rPr>
          <w:szCs w:val="18"/>
          <w:bdr w:val="nil"/>
        </w:rPr>
        <w:t xml:space="preserve">De omschrijving van het begrip natuurterreinen is ontleend aan artikel 116, onder c, van de Waterschapswet. De wet geeft een kwalitatieve omschrijving van het begrip natuurterreinen, waarbij de nadruk ligt hierbij op de duurzame inrichting en het beheer van de onroerende zaak als natuurterrein: de inrichting en het beheer </w:t>
      </w:r>
      <w:r w:rsidRPr="0005091D">
        <w:rPr>
          <w:szCs w:val="18"/>
          <w:bdr w:val="nil"/>
        </w:rPr>
        <w:lastRenderedPageBreak/>
        <w:t xml:space="preserve">moeten geheel of nagenoeg geheel en duurzaam zijn afgestemd op het behoud of de ontwikkeling van natuur. Bij de beoordeling van de vraag of van een natuurterrein sprake is, zijn ook de feitelijke of uiteindelijke bestemming van de onroerende zaak van belang. Zo zal een perceel nog bouwrijp te maken grond dat al jaren niet is bewerkt en waar inmiddels eventueel veel groen en leven aanwezig is, maar waar uiteindelijk wel gebouwd zal worden, niet als een natuurterrein kwalificeren. Ook stadsparken, plantsoenen en dergelijke zullen vanwege hun overwegende recreatieve functie niet een natuurterrein als bedoeld in de Waterschapwet zijn. </w:t>
      </w:r>
    </w:p>
    <w:p w14:paraId="137AB391" w14:textId="77777777" w:rsidR="00CD4E8A" w:rsidRPr="0005091D" w:rsidRDefault="0005091D" w:rsidP="0005091D">
      <w:pPr>
        <w:rPr>
          <w:szCs w:val="18"/>
          <w:bdr w:val="nil"/>
        </w:rPr>
      </w:pPr>
      <w:r w:rsidRPr="0005091D">
        <w:rPr>
          <w:szCs w:val="18"/>
          <w:bdr w:val="nil"/>
        </w:rPr>
        <w:t> </w:t>
      </w:r>
    </w:p>
    <w:p w14:paraId="6547736D" w14:textId="77777777" w:rsidR="00CD4E8A" w:rsidRPr="0005091D" w:rsidRDefault="0005091D" w:rsidP="0005091D">
      <w:pPr>
        <w:rPr>
          <w:szCs w:val="18"/>
          <w:bdr w:val="nil"/>
        </w:rPr>
      </w:pPr>
      <w:r w:rsidRPr="0005091D">
        <w:rPr>
          <w:szCs w:val="18"/>
          <w:bdr w:val="nil"/>
        </w:rPr>
        <w:t xml:space="preserve">Over de interpretatie van het begrip ‘natuurterreinen’ (wanneer zijn de inrichting en het beheer van een terrein geheel of nagenoeg geheel en duurzaam afgestemd op het behoud of de ontwikkeling van natuur?) is een aantal procedures tussen waterschappen en natuurterreinbeheerders gevoerd. In 2014 heeft de Hoge Raad uitspraak gedaan en hierbij ook invulling gegeven aan het begrip ‘geheel of nagenoeg geheel’ in relatie tot de definitie van het begrip natuurterreinen uit de Waterschapswet </w:t>
      </w:r>
      <w:r w:rsidRPr="0005091D">
        <w:rPr>
          <w:rFonts w:eastAsia="Arial" w:cs="Arial"/>
          <w:color w:val="0000EE"/>
          <w:szCs w:val="18"/>
          <w:u w:val="single"/>
          <w:bdr w:val="nil"/>
        </w:rPr>
        <w:t>[4]</w:t>
      </w:r>
      <w:r w:rsidRPr="0005091D">
        <w:rPr>
          <w:rStyle w:val="Voetnootmarkering"/>
          <w:sz w:val="18"/>
          <w:szCs w:val="18"/>
        </w:rPr>
        <w:footnoteReference w:id="4"/>
      </w:r>
      <w:r w:rsidRPr="0005091D">
        <w:rPr>
          <w:szCs w:val="18"/>
          <w:bdr w:val="nil"/>
        </w:rPr>
        <w:t xml:space="preserve">. Volgens de Hoge Raad is voor een oordeel op de vraag of sprake is van een natuurterrein slechts relevant of de beheeractiviteiten die op het betreffende terrein plaatsvinden, er al dan niet op zijn gericht dat het natuurtype zich kan ontwikkelen of wordt behouden. Zijn de activiteiten hierop gericht/vinden de activiteiten ten behoeve van de gegeven natuurdoelstelling plaats, dan zijn inrichting en beheer van het terrein naar het oordeel van de Hoge Raad geheel of nagenoeg geheel afgestemd op het behoud of de ontwikkeling van natuur en is er dus sprake van een natuurterrein. Het arrest van de Hoge Raad komt er kortgezegd op neer dat de vraag of sprake is van een natuurterrein, beoordeeld moet worden vanuit het perspectief van de eigenaar van het terrein. Het arrest heeft ook duidelijk gemaakt dat de Hoge Raad het voor een antwoord op de vraag of sprake is van een natuurterrein, niet relevant acht of met de beheeractiviteiten eventueel ook agrarische opbrengsten worden gegenereerd en wat daarvan de omvang is. In het aan de Hoge Raad voorgelegde geval bracht het feit dat sprake was van een resterend agrarisch opbrengstvermogen van meer dan 10% bijvoorbeeld niet mee dat van een natuurterrein geen sprake was. De term geheel of nagenoeg geheel (die in het fiscale recht voor 90% of meer staat), moet in het kader van de watersysteemheffing voor natuurterreinen met andere woorden niet rekenkundig worden benaderd. </w:t>
      </w:r>
    </w:p>
    <w:p w14:paraId="01240DD2" w14:textId="77777777" w:rsidR="00CD4E8A" w:rsidRPr="0005091D" w:rsidRDefault="0005091D" w:rsidP="0005091D">
      <w:pPr>
        <w:rPr>
          <w:szCs w:val="18"/>
          <w:bdr w:val="nil"/>
        </w:rPr>
      </w:pPr>
      <w:r w:rsidRPr="0005091D">
        <w:rPr>
          <w:szCs w:val="18"/>
          <w:bdr w:val="nil"/>
        </w:rPr>
        <w:t> </w:t>
      </w:r>
    </w:p>
    <w:p w14:paraId="5F32D002" w14:textId="77777777" w:rsidR="00CD4E8A" w:rsidRPr="0005091D" w:rsidRDefault="0005091D" w:rsidP="0005091D">
      <w:pPr>
        <w:rPr>
          <w:szCs w:val="18"/>
          <w:bdr w:val="nil"/>
        </w:rPr>
      </w:pPr>
      <w:r w:rsidRPr="0005091D">
        <w:rPr>
          <w:szCs w:val="18"/>
          <w:bdr w:val="nil"/>
        </w:rPr>
        <w:t xml:space="preserve">Het begrip ‘duurzaam’ geeft aan dat geen sprake mag zijn van een situatie die tijdelijk is bedoeld. </w:t>
      </w:r>
    </w:p>
    <w:p w14:paraId="3B62C8B3" w14:textId="77777777" w:rsidR="00CD4E8A" w:rsidRPr="0005091D" w:rsidRDefault="0005091D" w:rsidP="0005091D">
      <w:pPr>
        <w:rPr>
          <w:szCs w:val="18"/>
          <w:bdr w:val="nil"/>
        </w:rPr>
      </w:pPr>
      <w:r w:rsidRPr="0005091D">
        <w:rPr>
          <w:szCs w:val="18"/>
          <w:bdr w:val="nil"/>
        </w:rPr>
        <w:t> </w:t>
      </w:r>
    </w:p>
    <w:p w14:paraId="57BA5683" w14:textId="77777777" w:rsidR="00CD4E8A" w:rsidRPr="0005091D" w:rsidRDefault="0005091D" w:rsidP="0005091D">
      <w:pPr>
        <w:rPr>
          <w:szCs w:val="18"/>
          <w:bdr w:val="nil"/>
        </w:rPr>
      </w:pPr>
      <w:r w:rsidRPr="0005091D">
        <w:rPr>
          <w:szCs w:val="18"/>
          <w:bdr w:val="nil"/>
        </w:rPr>
        <w:t xml:space="preserve">Bossen en open wateren met een oppervlakte van tenminste één hectare worden op grond van artikel 116, onderdeel c, van de Waterschapswet als natuurterreinen aangemerkt. Zij hoeven niet aan het vereiste te voldoen dat zij geheel of nagenoeg geheel en duurzaam moeten zijn afgestemd op het behoud of de ontwikkeling van natuur. Dit leidt ertoe dat ook bossen die bedrijfsmatig worden geëxploiteerd onder het begrip natuurterreinen vallen. De wetgever heeft hiervoor gekozen omdat het onderscheid in niet-bedrijfsmatig geëxploiteerde bossen enerzijds en bossen die wel als zodanig worden geëxploiteerd, in de praktijk moeilijk is te maken </w:t>
      </w:r>
      <w:r w:rsidRPr="0005091D">
        <w:rPr>
          <w:rFonts w:eastAsia="Arial" w:cs="Arial"/>
          <w:color w:val="0000EE"/>
          <w:szCs w:val="18"/>
          <w:u w:val="single"/>
          <w:bdr w:val="nil"/>
        </w:rPr>
        <w:t>[5]</w:t>
      </w:r>
      <w:r w:rsidRPr="0005091D">
        <w:rPr>
          <w:rStyle w:val="Voetnootmarkering"/>
          <w:sz w:val="18"/>
          <w:szCs w:val="18"/>
        </w:rPr>
        <w:footnoteReference w:id="5"/>
      </w:r>
      <w:r w:rsidRPr="0005091D">
        <w:rPr>
          <w:szCs w:val="18"/>
          <w:bdr w:val="nil"/>
        </w:rPr>
        <w:t xml:space="preserve">. Natte veenweidegebieden worden, op grond van de overweging dat deze gebieden ook een agrarische functie hebben, door de wetgever niet als natuurterrein maar als agrarische grond aangemerkt. </w:t>
      </w:r>
    </w:p>
    <w:p w14:paraId="2295D77A" w14:textId="77777777" w:rsidR="00CD4E8A" w:rsidRPr="0005091D" w:rsidRDefault="0005091D" w:rsidP="0005091D">
      <w:pPr>
        <w:rPr>
          <w:szCs w:val="18"/>
          <w:bdr w:val="nil"/>
        </w:rPr>
      </w:pPr>
      <w:r w:rsidRPr="0005091D">
        <w:rPr>
          <w:szCs w:val="18"/>
          <w:bdr w:val="nil"/>
        </w:rPr>
        <w:t xml:space="preserve">De objectafbakeningsvoorschriften van artikel 118, lid 4, van de wet gelden ook voor bossen en open wateren. Bij open wateren moet overigens worden gedacht aan wateren met een weids karakter. Openbare waterwegen behoren overigens niet tot de categorie natuurterreinen, maar tot de categorie ongebouwd niet zijnde natuur. </w:t>
      </w:r>
    </w:p>
    <w:p w14:paraId="69782EC5" w14:textId="77777777" w:rsidR="00CD4E8A" w:rsidRPr="0005091D" w:rsidRDefault="0005091D" w:rsidP="0005091D">
      <w:pPr>
        <w:rPr>
          <w:szCs w:val="18"/>
          <w:bdr w:val="nil"/>
        </w:rPr>
      </w:pPr>
      <w:r w:rsidRPr="0005091D">
        <w:rPr>
          <w:szCs w:val="18"/>
          <w:bdr w:val="nil"/>
        </w:rPr>
        <w:t> </w:t>
      </w:r>
    </w:p>
    <w:p w14:paraId="42A73866" w14:textId="77777777" w:rsidR="00CD4E8A" w:rsidRPr="0005091D" w:rsidRDefault="0005091D" w:rsidP="0005091D">
      <w:pPr>
        <w:rPr>
          <w:szCs w:val="18"/>
          <w:u w:val="single"/>
          <w:bdr w:val="nil"/>
        </w:rPr>
      </w:pPr>
      <w:r w:rsidRPr="0005091D">
        <w:rPr>
          <w:szCs w:val="18"/>
          <w:u w:val="single"/>
          <w:bdr w:val="nil"/>
        </w:rPr>
        <w:t> </w:t>
      </w:r>
    </w:p>
    <w:p w14:paraId="242B6C0F" w14:textId="77777777" w:rsidR="00CD4E8A" w:rsidRPr="0005091D" w:rsidRDefault="0005091D" w:rsidP="0005091D">
      <w:pPr>
        <w:pStyle w:val="Kop3"/>
        <w:spacing w:before="0" w:after="0"/>
        <w:rPr>
          <w:sz w:val="18"/>
          <w:szCs w:val="18"/>
          <w:bdr w:val="nil"/>
        </w:rPr>
      </w:pPr>
      <w:r w:rsidRPr="0005091D">
        <w:rPr>
          <w:sz w:val="18"/>
          <w:szCs w:val="18"/>
          <w:bdr w:val="nil"/>
        </w:rPr>
        <w:t>Waardebepaling categorie gebouwde onroerende zaken</w:t>
      </w:r>
    </w:p>
    <w:p w14:paraId="30DD4E79" w14:textId="77777777" w:rsidR="00CD4E8A" w:rsidRPr="0005091D" w:rsidRDefault="0005091D" w:rsidP="0005091D">
      <w:pPr>
        <w:rPr>
          <w:szCs w:val="18"/>
          <w:bdr w:val="nil"/>
        </w:rPr>
      </w:pPr>
      <w:r w:rsidRPr="0005091D">
        <w:rPr>
          <w:szCs w:val="18"/>
          <w:bdr w:val="nil"/>
        </w:rPr>
        <w:t xml:space="preserve">Voor het bepalen van de waarde van de gebouwde onroerende zaken in het gebied van het waterschap moet worden aangesloten bij de WOZ-waarden, zoals deze door de gemeenten zijn vastgesteld. Wat onder een gebouwd object moet worden verstaan, is in artikel 118, eerste en tweede lid, van de Waterschapswet geregeld. Op grond van het tweede lid wordt een samenstel van ongebouwde en gebouwde eigendommen als één gebouwde onroerende zaak aangemerkt. Het ongebouwde eigendom verliest in deze gevallen als het ware dus zijn ongebouwde karakter en wordt samen met het gebouwde object één gebouwde onroerende zaak. Als het ongebouwde eigendom echter een object is waarvoor de gemeente op basis van artikel 18, derde lid, Wet WOZ in combinatie met de Uitvoeringsregeling uitgezonderde objecten Wet WOZ, geen waarde behoeft vast te stellen, dan vormt dit ongebouwde eigendom geen samenstel met een gebouwd eigendom. In deze gevallen blijft het ongebouwde eigendom dus gewoon ongebouwd. </w:t>
      </w:r>
    </w:p>
    <w:p w14:paraId="35183553" w14:textId="77777777" w:rsidR="00CD4E8A" w:rsidRPr="0005091D" w:rsidRDefault="0005091D" w:rsidP="0005091D">
      <w:pPr>
        <w:rPr>
          <w:szCs w:val="18"/>
          <w:bdr w:val="nil"/>
        </w:rPr>
      </w:pPr>
      <w:r w:rsidRPr="0005091D">
        <w:rPr>
          <w:szCs w:val="18"/>
          <w:bdr w:val="nil"/>
        </w:rPr>
        <w:t> </w:t>
      </w:r>
    </w:p>
    <w:p w14:paraId="7CC281EC" w14:textId="77777777" w:rsidR="00CD4E8A" w:rsidRPr="0005091D" w:rsidRDefault="0005091D" w:rsidP="0005091D">
      <w:pPr>
        <w:pStyle w:val="Kop3"/>
        <w:spacing w:before="0" w:after="0"/>
        <w:rPr>
          <w:sz w:val="18"/>
          <w:szCs w:val="18"/>
          <w:bdr w:val="nil"/>
        </w:rPr>
      </w:pPr>
      <w:r w:rsidRPr="0005091D">
        <w:rPr>
          <w:sz w:val="18"/>
          <w:szCs w:val="18"/>
          <w:bdr w:val="nil"/>
        </w:rPr>
        <w:lastRenderedPageBreak/>
        <w:t>Waardepeildatum</w:t>
      </w:r>
    </w:p>
    <w:p w14:paraId="4CFF3398" w14:textId="77777777" w:rsidR="00CD4E8A" w:rsidRPr="0005091D" w:rsidRDefault="0005091D" w:rsidP="0005091D">
      <w:pPr>
        <w:rPr>
          <w:szCs w:val="18"/>
          <w:bdr w:val="nil"/>
        </w:rPr>
      </w:pPr>
      <w:r w:rsidRPr="0005091D">
        <w:rPr>
          <w:szCs w:val="18"/>
          <w:bdr w:val="nil"/>
        </w:rPr>
        <w:t xml:space="preserve">Aan de onroerende zaken in het gebied van het waterschap moet in het kader van de kostentoedeling een waarde worden toegekend. De waardepeildatum ligt maximaal twee jaar vóór het begin van het eerste kalenderjaar waarop de kostentoedelingsverordening betrekking heeft (artikel 6.11, eerste lid, Waterschapsbesluit). Het eerste jaar waarop de onderhavige kostentoedelingsverordening betrekking heeft, is 2020. Waterschappen mogen de waardepeildatum dus op 1 januari 2018 of op 1 januari 2019 stellen. </w:t>
      </w:r>
    </w:p>
    <w:p w14:paraId="756B279B" w14:textId="77777777" w:rsidR="00CD4E8A" w:rsidRPr="0005091D" w:rsidRDefault="0005091D" w:rsidP="0005091D">
      <w:pPr>
        <w:rPr>
          <w:szCs w:val="18"/>
          <w:bdr w:val="nil"/>
        </w:rPr>
      </w:pPr>
      <w:r w:rsidRPr="0005091D">
        <w:rPr>
          <w:szCs w:val="18"/>
          <w:bdr w:val="nil"/>
        </w:rPr>
        <w:t> </w:t>
      </w:r>
    </w:p>
    <w:p w14:paraId="2ADB59E6" w14:textId="77777777" w:rsidR="00CD4E8A" w:rsidRPr="0005091D" w:rsidRDefault="0005091D" w:rsidP="0005091D">
      <w:pPr>
        <w:rPr>
          <w:szCs w:val="18"/>
          <w:bdr w:val="nil"/>
        </w:rPr>
      </w:pPr>
      <w:r w:rsidRPr="0005091D">
        <w:rPr>
          <w:szCs w:val="18"/>
          <w:bdr w:val="nil"/>
        </w:rPr>
        <w:t xml:space="preserve">Het tweede lid van artikel 6.11 bepaalt zowel voor de categorie ongebouwde onroerende zaken als voor de categorie natuurterreinen met zoveel woorden dat de waardebepaling plaatsvindt naar de hoedanigheid en de staat van deze onroerende zaken op de waardepeildatum. Voor gebouwde onroerende zaken vloeit dit voorschrift al rechtstreeks uit de Wet WOZ voort. </w:t>
      </w:r>
    </w:p>
    <w:p w14:paraId="3C14984F" w14:textId="77777777" w:rsidR="00CD4E8A" w:rsidRPr="0005091D" w:rsidRDefault="0005091D" w:rsidP="0005091D">
      <w:pPr>
        <w:rPr>
          <w:szCs w:val="18"/>
          <w:bdr w:val="nil"/>
        </w:rPr>
      </w:pPr>
      <w:r w:rsidRPr="0005091D">
        <w:rPr>
          <w:szCs w:val="18"/>
          <w:bdr w:val="nil"/>
        </w:rPr>
        <w:t> </w:t>
      </w:r>
    </w:p>
    <w:p w14:paraId="03D3ABC2" w14:textId="5FB8BAB5" w:rsidR="00CD4E8A" w:rsidRPr="0005091D" w:rsidRDefault="00CD4E8A" w:rsidP="0005091D">
      <w:pPr>
        <w:pStyle w:val="Kop3"/>
        <w:spacing w:before="0" w:after="0"/>
        <w:rPr>
          <w:b w:val="0"/>
          <w:bCs w:val="0"/>
          <w:sz w:val="18"/>
          <w:szCs w:val="18"/>
          <w:bdr w:val="nil"/>
        </w:rPr>
      </w:pPr>
    </w:p>
    <w:p w14:paraId="6A70E2B4" w14:textId="379930C7" w:rsidR="00CD4E8A" w:rsidRPr="0005091D" w:rsidRDefault="0005091D" w:rsidP="0005091D">
      <w:pPr>
        <w:pStyle w:val="Kop3"/>
        <w:spacing w:before="0" w:after="0"/>
        <w:rPr>
          <w:sz w:val="18"/>
          <w:szCs w:val="18"/>
          <w:bdr w:val="nil"/>
        </w:rPr>
      </w:pPr>
      <w:r w:rsidRPr="0005091D">
        <w:rPr>
          <w:sz w:val="18"/>
          <w:szCs w:val="18"/>
          <w:bdr w:val="nil"/>
        </w:rPr>
        <w:t xml:space="preserve">Artikel </w:t>
      </w:r>
      <w:r>
        <w:rPr>
          <w:sz w:val="18"/>
          <w:szCs w:val="18"/>
          <w:bdr w:val="nil"/>
        </w:rPr>
        <w:t>3</w:t>
      </w:r>
      <w:r w:rsidRPr="0005091D">
        <w:rPr>
          <w:sz w:val="18"/>
          <w:szCs w:val="18"/>
          <w:bdr w:val="nil"/>
        </w:rPr>
        <w:t>           Tariefdifferentiatie</w:t>
      </w:r>
    </w:p>
    <w:p w14:paraId="07B5FA32" w14:textId="77777777" w:rsidR="00CD4E8A" w:rsidRPr="0005091D" w:rsidRDefault="0005091D" w:rsidP="0005091D">
      <w:pPr>
        <w:rPr>
          <w:szCs w:val="18"/>
          <w:bdr w:val="nil"/>
        </w:rPr>
      </w:pPr>
      <w:r w:rsidRPr="0005091D">
        <w:rPr>
          <w:szCs w:val="18"/>
          <w:bdr w:val="nil"/>
        </w:rPr>
        <w:t xml:space="preserve">Het algemeen bestuur van een waterschap kan in een aantal gevallen besluiten om de belastingtarieven zoals die voor de categorieën ongebouwd, natuur en gebouwd zijn vastgesteld, te differentiëren, dat wil zeggen: hoger of lager vast te stellen. De bevoegdheid om tarieven te differentiëren is een facultatieve bevoegdheid van het waterschapsbestuur. De gevallen waarin tariefdifferentiatie is toegestaan, zijn in de Waterschapswet (artikel 122) met zoveel woorden genoemd. Ook de mate waarin tarieven gedifferentieerd kunnen worden, is in de wet geregeld. De hoofdregel die uit artikel 121, eerste lid, onderdelen b, c en d van de Waterschapswet voortvloeit, is dat het tarief van de belasting per eenheid van de heffingsmaatstaf gelijk is. Op grond van deze hoofdregel dient dus sprake te zijn van een gelijk tarief per hectare voor de onroerende zaken die tot de categorie ongebouwd behoren, een gelijk tarief per hectare voor de onroerende zaken die tot de categorie natuur behoren en een gelijk percentage van de WOZ-waarde voor alle onroerende zaken die tot de categorie gebouwd behoren. De bepalingen over de tariefdifferentiatie maken het mogelijk om van deze hoofdregel af te wijken. Indien tariefdifferentiatie wordt toegepast, zal bij de betreffende belastingcategorieën dus geen sprake meer zijn van gelijke tarieven. </w:t>
      </w:r>
    </w:p>
    <w:p w14:paraId="6B4C0BBB" w14:textId="77777777" w:rsidR="00CD4E8A" w:rsidRPr="0005091D" w:rsidRDefault="0005091D" w:rsidP="0005091D">
      <w:pPr>
        <w:rPr>
          <w:szCs w:val="18"/>
          <w:bdr w:val="nil"/>
        </w:rPr>
      </w:pPr>
      <w:r w:rsidRPr="0005091D">
        <w:rPr>
          <w:szCs w:val="18"/>
          <w:bdr w:val="nil"/>
        </w:rPr>
        <w:t> </w:t>
      </w:r>
    </w:p>
    <w:p w14:paraId="5F6AEE48" w14:textId="77777777" w:rsidR="00CD4E8A" w:rsidRPr="0005091D" w:rsidRDefault="0005091D" w:rsidP="0005091D">
      <w:pPr>
        <w:rPr>
          <w:szCs w:val="18"/>
          <w:bdr w:val="nil"/>
        </w:rPr>
      </w:pPr>
      <w:r w:rsidRPr="0005091D">
        <w:rPr>
          <w:szCs w:val="18"/>
          <w:bdr w:val="nil"/>
        </w:rPr>
        <w:t xml:space="preserve">Tariefdifferentiatie moet in de kostentoedelingsverordening worden geregeld. Zowel de situaties waarin tariefdifferentiatie zal plaatsvinden als de mate waarin dit zal geschieden, moeten in de kostentoedelingsverordening tot uitdrukking worden gebracht. Voor welk(e) percentage(s) in specifieke gevallen precies wordt gekozen, behoort tot de bestuurlijke vrijheid van het waterschap. </w:t>
      </w:r>
    </w:p>
    <w:p w14:paraId="19501C16" w14:textId="5B750C43" w:rsidR="00CD4E8A" w:rsidRPr="0005091D" w:rsidRDefault="0005091D" w:rsidP="0005091D">
      <w:pPr>
        <w:rPr>
          <w:szCs w:val="18"/>
          <w:bdr w:val="nil"/>
        </w:rPr>
      </w:pPr>
      <w:r w:rsidRPr="0005091D">
        <w:rPr>
          <w:szCs w:val="18"/>
          <w:bdr w:val="nil"/>
        </w:rPr>
        <w:t>  </w:t>
      </w:r>
    </w:p>
    <w:p w14:paraId="31523728" w14:textId="1FB0C4A7" w:rsidR="00CD4E8A" w:rsidRPr="0005091D" w:rsidRDefault="0005091D" w:rsidP="0005091D">
      <w:pPr>
        <w:rPr>
          <w:b/>
          <w:bCs/>
          <w:szCs w:val="18"/>
          <w:bdr w:val="nil"/>
        </w:rPr>
      </w:pPr>
      <w:r w:rsidRPr="0005091D">
        <w:rPr>
          <w:b/>
          <w:bCs/>
          <w:szCs w:val="18"/>
          <w:bdr w:val="nil"/>
        </w:rPr>
        <w:t>Verharde openbare wegen</w:t>
      </w:r>
    </w:p>
    <w:p w14:paraId="3A1AD817" w14:textId="77777777" w:rsidR="00CD4E8A" w:rsidRPr="0005091D" w:rsidRDefault="0005091D" w:rsidP="0005091D">
      <w:pPr>
        <w:rPr>
          <w:szCs w:val="18"/>
          <w:bdr w:val="nil"/>
        </w:rPr>
      </w:pPr>
      <w:r w:rsidRPr="0005091D">
        <w:rPr>
          <w:szCs w:val="18"/>
          <w:bdr w:val="nil"/>
        </w:rPr>
        <w:t xml:space="preserve">Dit artikellid regelt de tariefdifferentiatie voor verharde openbare wegen in die gevallen waarin het waterschap voor 1 juli 2012 al gebruik maakte van de mogelijkheid om het tarief voor ‘wegen’ te differentiëren. In deze gevallen kan het tarief voor verharde openbare wegen maximaal 400% hoger worden gesteld dan het tarief dat in de verordening op de watersysteemheffing voor ongebouwde onroerende zaken, niet zijnde natuurterreinen, is vastgesteld. </w:t>
      </w:r>
    </w:p>
    <w:p w14:paraId="32E0CD0A" w14:textId="77777777" w:rsidR="00CD4E8A" w:rsidRPr="0005091D" w:rsidRDefault="0005091D" w:rsidP="0005091D">
      <w:pPr>
        <w:rPr>
          <w:szCs w:val="18"/>
          <w:bdr w:val="nil"/>
        </w:rPr>
      </w:pPr>
      <w:r w:rsidRPr="0005091D">
        <w:rPr>
          <w:szCs w:val="18"/>
          <w:bdr w:val="nil"/>
        </w:rPr>
        <w:t> </w:t>
      </w:r>
    </w:p>
    <w:p w14:paraId="7526B493" w14:textId="77777777" w:rsidR="00CD4E8A" w:rsidRPr="0005091D" w:rsidRDefault="0005091D" w:rsidP="0005091D">
      <w:pPr>
        <w:rPr>
          <w:szCs w:val="18"/>
          <w:bdr w:val="nil"/>
        </w:rPr>
      </w:pPr>
      <w:r w:rsidRPr="0005091D">
        <w:rPr>
          <w:szCs w:val="18"/>
          <w:bdr w:val="nil"/>
        </w:rPr>
        <w:t> </w:t>
      </w:r>
    </w:p>
    <w:p w14:paraId="6B1098B8" w14:textId="77777777" w:rsidR="00CD4E8A" w:rsidRPr="0005091D" w:rsidRDefault="0005091D" w:rsidP="0005091D">
      <w:pPr>
        <w:rPr>
          <w:szCs w:val="18"/>
          <w:bdr w:val="nil"/>
        </w:rPr>
      </w:pPr>
      <w:r w:rsidRPr="0005091D">
        <w:rPr>
          <w:szCs w:val="18"/>
          <w:bdr w:val="nil"/>
        </w:rPr>
        <w:t> </w:t>
      </w:r>
    </w:p>
    <w:p w14:paraId="76BFB889" w14:textId="3ED1C9CE" w:rsidR="00CD4E8A" w:rsidRPr="0005091D" w:rsidRDefault="0005091D" w:rsidP="0005091D">
      <w:pPr>
        <w:pStyle w:val="Kop3"/>
        <w:spacing w:before="0" w:after="0"/>
        <w:rPr>
          <w:sz w:val="18"/>
          <w:szCs w:val="18"/>
          <w:bdr w:val="nil"/>
        </w:rPr>
      </w:pPr>
      <w:r w:rsidRPr="0005091D">
        <w:rPr>
          <w:sz w:val="18"/>
          <w:szCs w:val="18"/>
          <w:bdr w:val="nil"/>
        </w:rPr>
        <w:t xml:space="preserve">Artikel </w:t>
      </w:r>
      <w:r>
        <w:rPr>
          <w:sz w:val="18"/>
          <w:szCs w:val="18"/>
          <w:bdr w:val="nil"/>
        </w:rPr>
        <w:t>4</w:t>
      </w:r>
      <w:r w:rsidRPr="0005091D">
        <w:rPr>
          <w:sz w:val="18"/>
          <w:szCs w:val="18"/>
          <w:bdr w:val="nil"/>
        </w:rPr>
        <w:t>          Inwerkingtreding en citeertitel</w:t>
      </w:r>
    </w:p>
    <w:p w14:paraId="34175CFA" w14:textId="77777777" w:rsidR="00CD4E8A" w:rsidRPr="0005091D" w:rsidRDefault="0005091D" w:rsidP="0005091D">
      <w:pPr>
        <w:pStyle w:val="Kop3"/>
        <w:spacing w:before="0" w:after="0"/>
        <w:rPr>
          <w:sz w:val="18"/>
          <w:szCs w:val="18"/>
          <w:bdr w:val="nil"/>
        </w:rPr>
      </w:pPr>
      <w:r w:rsidRPr="0005091D">
        <w:rPr>
          <w:sz w:val="18"/>
          <w:szCs w:val="18"/>
          <w:bdr w:val="nil"/>
        </w:rPr>
        <w:t>Lid 1</w:t>
      </w:r>
    </w:p>
    <w:p w14:paraId="7F56AA60" w14:textId="4827338E" w:rsidR="00CD4E8A" w:rsidRPr="0005091D" w:rsidRDefault="0005091D" w:rsidP="0005091D">
      <w:pPr>
        <w:rPr>
          <w:szCs w:val="18"/>
          <w:bdr w:val="nil"/>
        </w:rPr>
      </w:pPr>
      <w:r w:rsidRPr="0005091D">
        <w:rPr>
          <w:szCs w:val="18"/>
          <w:bdr w:val="nil"/>
        </w:rPr>
        <w:t>Dit lid bepaalt dat de kostentoedelingsverordening die tot nu toe heeft gegolden, wordt ingetrokken met ingang van het belastingjaar dat aanvangt op 1 januari 202</w:t>
      </w:r>
      <w:r w:rsidR="008A23CC">
        <w:rPr>
          <w:szCs w:val="18"/>
          <w:bdr w:val="nil"/>
        </w:rPr>
        <w:t>4</w:t>
      </w:r>
      <w:r w:rsidRPr="0005091D">
        <w:rPr>
          <w:szCs w:val="18"/>
          <w:bdr w:val="nil"/>
        </w:rPr>
        <w:t xml:space="preserve">. De oude verordening blijft gelden voor de belastingjaren waarvoor zij heeft gegolden. </w:t>
      </w:r>
    </w:p>
    <w:p w14:paraId="3AD3109F" w14:textId="77777777" w:rsidR="00CD4E8A" w:rsidRPr="0005091D" w:rsidRDefault="0005091D" w:rsidP="0005091D">
      <w:pPr>
        <w:rPr>
          <w:szCs w:val="18"/>
          <w:bdr w:val="nil"/>
        </w:rPr>
      </w:pPr>
      <w:r w:rsidRPr="0005091D">
        <w:rPr>
          <w:szCs w:val="18"/>
          <w:bdr w:val="nil"/>
        </w:rPr>
        <w:t> </w:t>
      </w:r>
    </w:p>
    <w:p w14:paraId="4E318565" w14:textId="77777777" w:rsidR="00CD4E8A" w:rsidRPr="0005091D" w:rsidRDefault="0005091D" w:rsidP="0005091D">
      <w:pPr>
        <w:pStyle w:val="Kop3"/>
        <w:spacing w:before="0" w:after="0"/>
        <w:rPr>
          <w:sz w:val="18"/>
          <w:szCs w:val="18"/>
          <w:bdr w:val="nil"/>
        </w:rPr>
      </w:pPr>
      <w:r w:rsidRPr="0005091D">
        <w:rPr>
          <w:sz w:val="18"/>
          <w:szCs w:val="18"/>
          <w:bdr w:val="nil"/>
        </w:rPr>
        <w:t>Lid 2</w:t>
      </w:r>
    </w:p>
    <w:p w14:paraId="5CD7412A" w14:textId="77777777" w:rsidR="00CD4E8A" w:rsidRPr="0005091D" w:rsidRDefault="0005091D" w:rsidP="0005091D">
      <w:pPr>
        <w:rPr>
          <w:szCs w:val="18"/>
          <w:bdr w:val="nil"/>
        </w:rPr>
      </w:pPr>
      <w:r w:rsidRPr="0005091D">
        <w:rPr>
          <w:szCs w:val="18"/>
          <w:bdr w:val="nil"/>
        </w:rPr>
        <w:t xml:space="preserve">Op grond van artikel 73, eerste lid, van de Waterschapswet verbinden besluiten van het waterschap die algemeen verbindende regels inhouden, niet dan wanneer zij zijn bekendgemaakt. Deze bepaling is ook op de kostentoedelingsverordening van toepassing. </w:t>
      </w:r>
    </w:p>
    <w:p w14:paraId="48EBE16B" w14:textId="77777777" w:rsidR="00CD4E8A" w:rsidRPr="0005091D" w:rsidRDefault="0005091D" w:rsidP="0005091D">
      <w:pPr>
        <w:rPr>
          <w:szCs w:val="18"/>
          <w:bdr w:val="nil"/>
        </w:rPr>
      </w:pPr>
      <w:r w:rsidRPr="0005091D">
        <w:rPr>
          <w:szCs w:val="18"/>
          <w:bdr w:val="nil"/>
        </w:rPr>
        <w:t> </w:t>
      </w:r>
    </w:p>
    <w:p w14:paraId="1C3394B3" w14:textId="77777777" w:rsidR="00CD4E8A" w:rsidRPr="0005091D" w:rsidRDefault="0005091D" w:rsidP="0005091D">
      <w:pPr>
        <w:rPr>
          <w:szCs w:val="18"/>
          <w:bdr w:val="nil"/>
        </w:rPr>
      </w:pPr>
      <w:r w:rsidRPr="0005091D">
        <w:rPr>
          <w:szCs w:val="18"/>
          <w:bdr w:val="nil"/>
        </w:rPr>
        <w:t xml:space="preserve">Ingevolge het tweede lid van artikel 18 treedt de verordening acht dagen na haar bekendmaking in werking. Deze regeling is gebaseerd op artikel 74 van de Waterschapswet. Waterschappen kunnen in de verordening voor een ander tijdstip van inwerkingtreding kiezen. </w:t>
      </w:r>
    </w:p>
    <w:p w14:paraId="01DC4DCE" w14:textId="77777777" w:rsidR="00CD4E8A" w:rsidRPr="0005091D" w:rsidRDefault="0005091D" w:rsidP="0005091D">
      <w:pPr>
        <w:rPr>
          <w:szCs w:val="18"/>
          <w:bdr w:val="nil"/>
        </w:rPr>
      </w:pPr>
      <w:r w:rsidRPr="0005091D">
        <w:rPr>
          <w:szCs w:val="18"/>
          <w:bdr w:val="nil"/>
        </w:rPr>
        <w:t xml:space="preserve">Over de bekendmaking van de verordening is verder ook van belang hetgeen in artikel 73, eerste lid, van de Waterschapswet is bepaald: bekendmaking gebeurt in het waterschapsblad. In de verordening kan worden bepaald dat een bij de verordening behorende bijlage door terinzagelegging bekend wordt gemaakt. </w:t>
      </w:r>
    </w:p>
    <w:p w14:paraId="7BA182D7" w14:textId="77777777" w:rsidR="00CD4E8A" w:rsidRPr="0005091D" w:rsidRDefault="0005091D" w:rsidP="0005091D">
      <w:pPr>
        <w:rPr>
          <w:szCs w:val="18"/>
          <w:bdr w:val="nil"/>
        </w:rPr>
      </w:pPr>
      <w:r w:rsidRPr="0005091D">
        <w:rPr>
          <w:szCs w:val="18"/>
          <w:bdr w:val="nil"/>
        </w:rPr>
        <w:t xml:space="preserve">Het waterschapsblad wordt elektronisch op een algemeen toegankelijke wijze uitgegeven en blijft ook na uitgifte op een algemeen toegankelijke wijze beschikbaar. </w:t>
      </w:r>
    </w:p>
    <w:p w14:paraId="7E257C59" w14:textId="16919923" w:rsidR="00CD4E8A" w:rsidRPr="0005091D" w:rsidRDefault="0005091D" w:rsidP="0005091D">
      <w:pPr>
        <w:rPr>
          <w:szCs w:val="18"/>
          <w:bdr w:val="nil"/>
        </w:rPr>
      </w:pPr>
      <w:r w:rsidRPr="0005091D">
        <w:rPr>
          <w:szCs w:val="18"/>
          <w:bdr w:val="nil"/>
        </w:rPr>
        <w:t xml:space="preserve"> </w:t>
      </w:r>
    </w:p>
    <w:p w14:paraId="7F20580A" w14:textId="77777777" w:rsidR="00CD4E8A" w:rsidRPr="0005091D" w:rsidRDefault="0005091D" w:rsidP="0005091D">
      <w:pPr>
        <w:pStyle w:val="Kop3"/>
        <w:spacing w:before="0" w:after="0"/>
        <w:rPr>
          <w:sz w:val="18"/>
          <w:szCs w:val="18"/>
          <w:bdr w:val="nil"/>
        </w:rPr>
      </w:pPr>
      <w:r w:rsidRPr="0005091D">
        <w:rPr>
          <w:sz w:val="18"/>
          <w:szCs w:val="18"/>
          <w:bdr w:val="nil"/>
        </w:rPr>
        <w:lastRenderedPageBreak/>
        <w:t> </w:t>
      </w:r>
    </w:p>
    <w:p w14:paraId="16DE85A0" w14:textId="77777777" w:rsidR="00CD4E8A" w:rsidRPr="0005091D" w:rsidRDefault="0005091D" w:rsidP="0005091D">
      <w:pPr>
        <w:pStyle w:val="Kop3"/>
        <w:spacing w:before="0" w:after="0"/>
        <w:rPr>
          <w:sz w:val="18"/>
          <w:szCs w:val="18"/>
          <w:bdr w:val="nil"/>
        </w:rPr>
      </w:pPr>
      <w:r w:rsidRPr="0005091D">
        <w:rPr>
          <w:sz w:val="18"/>
          <w:szCs w:val="18"/>
          <w:bdr w:val="nil"/>
        </w:rPr>
        <w:t>Lid 3</w:t>
      </w:r>
    </w:p>
    <w:p w14:paraId="71B906B1" w14:textId="22F19F10" w:rsidR="00CD4E8A" w:rsidRPr="0005091D" w:rsidRDefault="0005091D" w:rsidP="0005091D">
      <w:pPr>
        <w:rPr>
          <w:szCs w:val="18"/>
          <w:bdr w:val="nil"/>
        </w:rPr>
      </w:pPr>
      <w:r w:rsidRPr="0005091D">
        <w:rPr>
          <w:szCs w:val="18"/>
          <w:bdr w:val="nil"/>
        </w:rPr>
        <w:t>De onderhavige kostentoedelingsverordening wordt voor het eerst toegepast op het belastingjaar dat op 1 januari 202</w:t>
      </w:r>
      <w:r w:rsidR="008A23CC">
        <w:rPr>
          <w:szCs w:val="18"/>
          <w:bdr w:val="nil"/>
        </w:rPr>
        <w:t>4</w:t>
      </w:r>
      <w:r w:rsidRPr="0005091D">
        <w:rPr>
          <w:szCs w:val="18"/>
          <w:bdr w:val="nil"/>
        </w:rPr>
        <w:t xml:space="preserve"> aanvangt. Dit jaartal is onderdeel van de citeertitel van de verordening. </w:t>
      </w:r>
    </w:p>
    <w:p w14:paraId="62429DA6" w14:textId="77777777" w:rsidR="00CD4E8A" w:rsidRPr="0005091D" w:rsidRDefault="0005091D" w:rsidP="0005091D">
      <w:pPr>
        <w:rPr>
          <w:szCs w:val="18"/>
          <w:bdr w:val="nil"/>
        </w:rPr>
      </w:pPr>
      <w:r w:rsidRPr="0005091D">
        <w:rPr>
          <w:szCs w:val="18"/>
          <w:bdr w:val="nil"/>
        </w:rPr>
        <w:t xml:space="preserve">De maximale geldigheidsduur van de verordening is vijf jaar. Na ommekomst van deze termijn moét de verordening worden herzien. Het is wel mogelijk de verordening op een eerder moment te herzien. In verband met dit laatste, is het niet wenselijk aan de verordening een einddatum mee te geven. </w:t>
      </w:r>
    </w:p>
    <w:p w14:paraId="30A6D221" w14:textId="77777777" w:rsidR="00CD4E8A" w:rsidRPr="0005091D" w:rsidRDefault="0005091D" w:rsidP="0005091D">
      <w:pPr>
        <w:rPr>
          <w:szCs w:val="18"/>
          <w:bdr w:val="nil"/>
        </w:rPr>
      </w:pPr>
      <w:r w:rsidRPr="0005091D">
        <w:rPr>
          <w:szCs w:val="18"/>
          <w:bdr w:val="nil"/>
        </w:rPr>
        <w:t> </w:t>
      </w:r>
    </w:p>
    <w:p w14:paraId="0AD81A40" w14:textId="77777777" w:rsidR="00CD4E8A" w:rsidRPr="0005091D" w:rsidRDefault="0005091D" w:rsidP="0005091D">
      <w:pPr>
        <w:pStyle w:val="Kop3"/>
        <w:spacing w:before="0" w:after="0"/>
        <w:rPr>
          <w:sz w:val="18"/>
          <w:szCs w:val="18"/>
          <w:bdr w:val="nil"/>
        </w:rPr>
      </w:pPr>
      <w:r w:rsidRPr="0005091D">
        <w:rPr>
          <w:sz w:val="18"/>
          <w:szCs w:val="18"/>
          <w:bdr w:val="nil"/>
        </w:rPr>
        <w:t>Lid 4</w:t>
      </w:r>
    </w:p>
    <w:p w14:paraId="1F73D00F" w14:textId="77777777" w:rsidR="00CD4E8A" w:rsidRPr="0005091D" w:rsidRDefault="0005091D" w:rsidP="0005091D">
      <w:pPr>
        <w:rPr>
          <w:szCs w:val="18"/>
          <w:bdr w:val="nil"/>
        </w:rPr>
      </w:pPr>
      <w:r w:rsidRPr="0005091D">
        <w:rPr>
          <w:szCs w:val="18"/>
          <w:bdr w:val="nil"/>
        </w:rPr>
        <w:t xml:space="preserve">De verordening wordt voorzien van een citeertitel. De naam van het waterschap en het jaartal van inwerkingtreding maken hiervan deel uit. </w:t>
      </w:r>
    </w:p>
    <w:p w14:paraId="39019BE0" w14:textId="77777777" w:rsidR="00CD4E8A" w:rsidRPr="0005091D" w:rsidRDefault="0005091D" w:rsidP="0005091D">
      <w:pPr>
        <w:rPr>
          <w:szCs w:val="18"/>
          <w:bdr w:val="nil"/>
        </w:rPr>
      </w:pPr>
      <w:r w:rsidRPr="0005091D">
        <w:rPr>
          <w:szCs w:val="18"/>
          <w:bdr w:val="nil"/>
        </w:rPr>
        <w:t> </w:t>
      </w:r>
    </w:p>
    <w:p w14:paraId="0DC5C4B5" w14:textId="77777777" w:rsidR="00CD4E8A" w:rsidRPr="0005091D" w:rsidRDefault="00CD4E8A" w:rsidP="0005091D">
      <w:pPr>
        <w:rPr>
          <w:szCs w:val="18"/>
        </w:rPr>
      </w:pPr>
    </w:p>
    <w:p w14:paraId="77180F8B" w14:textId="77777777" w:rsidR="00CD4E8A" w:rsidRPr="0005091D" w:rsidRDefault="009D404C" w:rsidP="0005091D">
      <w:pPr>
        <w:rPr>
          <w:szCs w:val="18"/>
        </w:rPr>
      </w:pPr>
      <w:r>
        <w:rPr>
          <w:szCs w:val="18"/>
        </w:rPr>
        <w:pict w14:anchorId="77C35F43">
          <v:rect id="_x0000_i1025" style="width:142.55pt;height:.75pt" o:hrpct="330" o:hrstd="t" o:hr="t" fillcolor="gray" stroked="f">
            <v:path strokeok="f"/>
          </v:rect>
        </w:pict>
      </w:r>
    </w:p>
    <w:p w14:paraId="711945BF" w14:textId="77777777" w:rsidR="00CD4E8A" w:rsidRPr="0005091D" w:rsidRDefault="009D404C" w:rsidP="0005091D">
      <w:pPr>
        <w:rPr>
          <w:szCs w:val="18"/>
        </w:rPr>
      </w:pPr>
      <w:hyperlink r:id="rId8" w:anchor="_ftnref1" w:history="1">
        <w:bookmarkStart w:id="0" w:name="_ftn1"/>
        <w:r w:rsidR="0005091D" w:rsidRPr="0005091D">
          <w:rPr>
            <w:rFonts w:eastAsia="Arial" w:cs="Arial"/>
            <w:color w:val="0000EE"/>
            <w:szCs w:val="18"/>
            <w:u w:val="single"/>
            <w:bdr w:val="nil"/>
          </w:rPr>
          <w:t>[1]</w:t>
        </w:r>
      </w:hyperlink>
      <w:bookmarkEnd w:id="0"/>
      <w:r w:rsidR="0005091D" w:rsidRPr="0005091D">
        <w:rPr>
          <w:szCs w:val="18"/>
          <w:bdr w:val="nil"/>
        </w:rPr>
        <w:t xml:space="preserve"> In het vervolg van deze toelichting worden eigenaren en anderszins zakelijk gerechtigden gemakshalve aangeduid met de term eigenaren. </w:t>
      </w:r>
    </w:p>
    <w:p w14:paraId="7195B322" w14:textId="77777777" w:rsidR="00CD4E8A" w:rsidRPr="0005091D" w:rsidRDefault="009D404C" w:rsidP="0005091D">
      <w:pPr>
        <w:rPr>
          <w:szCs w:val="18"/>
        </w:rPr>
      </w:pPr>
      <w:hyperlink r:id="rId9" w:anchor="_ftnref2" w:history="1">
        <w:bookmarkStart w:id="1" w:name="_ftn2"/>
        <w:r w:rsidR="0005091D" w:rsidRPr="0005091D">
          <w:rPr>
            <w:rFonts w:eastAsia="Arial" w:cs="Arial"/>
            <w:color w:val="0000EE"/>
            <w:szCs w:val="18"/>
            <w:u w:val="single"/>
            <w:bdr w:val="nil"/>
          </w:rPr>
          <w:t>[2]</w:t>
        </w:r>
      </w:hyperlink>
      <w:bookmarkEnd w:id="1"/>
      <w:r w:rsidR="0005091D" w:rsidRPr="0005091D">
        <w:rPr>
          <w:szCs w:val="18"/>
          <w:bdr w:val="nil"/>
        </w:rPr>
        <w:t xml:space="preserve"> MvT bij de Wet modernisering waterschapsbestel, TK 2005-2006, 30 601, nr. 3, blz. 11. </w:t>
      </w:r>
    </w:p>
    <w:p w14:paraId="17061E35" w14:textId="77777777" w:rsidR="00CD4E8A" w:rsidRPr="0005091D" w:rsidRDefault="009D404C" w:rsidP="0005091D">
      <w:pPr>
        <w:rPr>
          <w:szCs w:val="18"/>
        </w:rPr>
      </w:pPr>
      <w:hyperlink r:id="rId10" w:anchor="_ftnref3" w:history="1">
        <w:bookmarkStart w:id="2" w:name="_ftn3"/>
        <w:r w:rsidR="0005091D" w:rsidRPr="0005091D">
          <w:rPr>
            <w:rFonts w:eastAsia="Arial" w:cs="Arial"/>
            <w:color w:val="0000EE"/>
            <w:szCs w:val="18"/>
            <w:u w:val="single"/>
            <w:bdr w:val="nil"/>
          </w:rPr>
          <w:t>[3]</w:t>
        </w:r>
      </w:hyperlink>
      <w:bookmarkEnd w:id="2"/>
      <w:r w:rsidR="0005091D" w:rsidRPr="0005091D">
        <w:rPr>
          <w:szCs w:val="18"/>
          <w:bdr w:val="nil"/>
        </w:rPr>
        <w:t xml:space="preserve"> MvT bij de Wet modernisering waterschapsbestel, TK 2005–2006, 30 601, nr. 3, blz. 10. </w:t>
      </w:r>
    </w:p>
    <w:p w14:paraId="60C19EA9" w14:textId="77777777" w:rsidR="00CD4E8A" w:rsidRPr="0005091D" w:rsidRDefault="009D404C" w:rsidP="0005091D">
      <w:pPr>
        <w:rPr>
          <w:szCs w:val="18"/>
        </w:rPr>
      </w:pPr>
      <w:hyperlink r:id="rId11" w:anchor="_ftnref4" w:history="1">
        <w:bookmarkStart w:id="3" w:name="_ftn4"/>
        <w:r w:rsidR="0005091D" w:rsidRPr="0005091D">
          <w:rPr>
            <w:rFonts w:eastAsia="Arial" w:cs="Arial"/>
            <w:color w:val="0000EE"/>
            <w:szCs w:val="18"/>
            <w:u w:val="single"/>
            <w:bdr w:val="nil"/>
          </w:rPr>
          <w:t>[4]</w:t>
        </w:r>
      </w:hyperlink>
      <w:bookmarkEnd w:id="3"/>
      <w:r w:rsidR="0005091D" w:rsidRPr="0005091D">
        <w:rPr>
          <w:szCs w:val="18"/>
          <w:bdr w:val="nil"/>
        </w:rPr>
        <w:t xml:space="preserve"> Hoge Raad 7 november 2014, ECLI:NL:HR:2014:3118. </w:t>
      </w:r>
    </w:p>
    <w:p w14:paraId="7EF09734" w14:textId="77777777" w:rsidR="00CD4E8A" w:rsidRPr="0005091D" w:rsidRDefault="009D404C" w:rsidP="0005091D">
      <w:pPr>
        <w:rPr>
          <w:szCs w:val="18"/>
        </w:rPr>
      </w:pPr>
      <w:hyperlink r:id="rId12" w:anchor="_ftnref5" w:history="1">
        <w:bookmarkStart w:id="4" w:name="_ftn5"/>
        <w:r w:rsidR="0005091D" w:rsidRPr="0005091D">
          <w:rPr>
            <w:rFonts w:eastAsia="Arial" w:cs="Arial"/>
            <w:color w:val="0000EE"/>
            <w:szCs w:val="18"/>
            <w:u w:val="single"/>
            <w:bdr w:val="nil"/>
          </w:rPr>
          <w:t>[5]</w:t>
        </w:r>
      </w:hyperlink>
      <w:bookmarkEnd w:id="4"/>
      <w:r w:rsidR="0005091D" w:rsidRPr="0005091D">
        <w:rPr>
          <w:szCs w:val="18"/>
          <w:bdr w:val="nil"/>
        </w:rPr>
        <w:t xml:space="preserve"> Zie de toelichting bij het Waterschapsbesluit, Staatsblad 2007, 497, bladzijde 131. </w:t>
      </w:r>
    </w:p>
    <w:p w14:paraId="6EE58F9D" w14:textId="77777777" w:rsidR="00CD4E8A" w:rsidRPr="0005091D" w:rsidRDefault="009D404C" w:rsidP="0005091D">
      <w:pPr>
        <w:rPr>
          <w:szCs w:val="18"/>
        </w:rPr>
      </w:pPr>
      <w:hyperlink r:id="rId13" w:anchor="_ftnref6" w:history="1">
        <w:bookmarkStart w:id="5" w:name="_ftn6"/>
        <w:r w:rsidR="0005091D" w:rsidRPr="0005091D">
          <w:rPr>
            <w:rFonts w:eastAsia="Arial" w:cs="Arial"/>
            <w:color w:val="0000EE"/>
            <w:szCs w:val="18"/>
            <w:u w:val="single"/>
            <w:bdr w:val="nil"/>
          </w:rPr>
          <w:t>[6]</w:t>
        </w:r>
      </w:hyperlink>
      <w:bookmarkEnd w:id="5"/>
      <w:r w:rsidR="0005091D" w:rsidRPr="0005091D">
        <w:rPr>
          <w:szCs w:val="18"/>
          <w:bdr w:val="nil"/>
        </w:rPr>
        <w:t xml:space="preserve"> Er moet rekening worden gehouden met het feit dat er in de regel ook bij de zuiveringsheffing en de verontreinigingsheffing ter zake van woonruimten sprake is van kwijtschelding(skosten). </w:t>
      </w:r>
    </w:p>
    <w:sectPr w:rsidR="00CD4E8A" w:rsidRPr="0005091D" w:rsidSect="00D35E66">
      <w:footerReference w:type="default" r:id="rId14"/>
      <w:headerReference w:type="first" r:id="rId15"/>
      <w:type w:val="continuous"/>
      <w:pgSz w:w="11906" w:h="16838" w:code="9"/>
      <w:pgMar w:top="1843" w:right="737" w:bottom="1418" w:left="1191" w:header="851" w:footer="709" w:gutter="0"/>
      <w:paperSrc w:first="2" w:other="2"/>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E0832" w14:textId="77777777" w:rsidR="00AB73D8" w:rsidRDefault="0005091D">
      <w:r>
        <w:separator/>
      </w:r>
    </w:p>
  </w:endnote>
  <w:endnote w:type="continuationSeparator" w:id="0">
    <w:p w14:paraId="00B7276E" w14:textId="77777777" w:rsidR="00AB73D8" w:rsidRDefault="0005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Z: 3of 9 BarCode">
    <w:altName w:val="Algerian"/>
    <w:charset w:val="00"/>
    <w:family w:val="decorative"/>
    <w:pitch w:val="variable"/>
    <w:sig w:usb0="00000003" w:usb1="00000000" w:usb2="00000000" w:usb3="00000000" w:csb0="00000001" w:csb1="00000000"/>
  </w:font>
  <w:font w:name="KIX Barcode">
    <w:altName w:val="Courier"/>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47510"/>
      <w:docPartObj>
        <w:docPartGallery w:val="Page Numbers (Bottom of Page)"/>
        <w:docPartUnique/>
      </w:docPartObj>
    </w:sdtPr>
    <w:sdtEndPr/>
    <w:sdtContent>
      <w:p w14:paraId="28F9FB7E" w14:textId="77777777" w:rsidR="000A2159" w:rsidRDefault="0005091D">
        <w:pPr>
          <w:pStyle w:val="Voettekst"/>
          <w:jc w:val="center"/>
        </w:pPr>
        <w:r>
          <w:t>-</w:t>
        </w:r>
        <w:r>
          <w:fldChar w:fldCharType="begin"/>
        </w:r>
        <w:r>
          <w:instrText>PAGE   \* MERGEFORMAT</w:instrText>
        </w:r>
        <w:r>
          <w:fldChar w:fldCharType="separate"/>
        </w:r>
        <w:r>
          <w:rPr>
            <w:noProof/>
          </w:rPr>
          <w:t>19</w:t>
        </w:r>
        <w:r>
          <w:fldChar w:fldCharType="end"/>
        </w:r>
        <w:r>
          <w:t>-</w:t>
        </w:r>
      </w:p>
    </w:sdtContent>
  </w:sdt>
  <w:p w14:paraId="1931E51C" w14:textId="77777777" w:rsidR="000A2159" w:rsidRDefault="009D404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A7677" w14:textId="77777777" w:rsidR="00AB73D8" w:rsidRDefault="0005091D">
      <w:r>
        <w:separator/>
      </w:r>
    </w:p>
  </w:footnote>
  <w:footnote w:type="continuationSeparator" w:id="0">
    <w:p w14:paraId="4BBDC78E" w14:textId="77777777" w:rsidR="00AB73D8" w:rsidRDefault="0005091D">
      <w:r>
        <w:continuationSeparator/>
      </w:r>
    </w:p>
  </w:footnote>
  <w:footnote w:id="1">
    <w:p w14:paraId="54C12C86" w14:textId="77777777" w:rsidR="00CD4E8A" w:rsidRDefault="00CD4E8A">
      <w:pPr>
        <w:pStyle w:val="Voetnoottekst"/>
      </w:pPr>
    </w:p>
  </w:footnote>
  <w:footnote w:id="2">
    <w:p w14:paraId="11D60379" w14:textId="77777777" w:rsidR="00CD4E8A" w:rsidRDefault="00CD4E8A">
      <w:pPr>
        <w:pStyle w:val="Voetnoottekst"/>
      </w:pPr>
    </w:p>
  </w:footnote>
  <w:footnote w:id="3">
    <w:p w14:paraId="5A4FF6EC" w14:textId="77777777" w:rsidR="00CD4E8A" w:rsidRDefault="00CD4E8A">
      <w:pPr>
        <w:pStyle w:val="Voetnoottekst"/>
      </w:pPr>
    </w:p>
  </w:footnote>
  <w:footnote w:id="4">
    <w:p w14:paraId="48C09DE4" w14:textId="77777777" w:rsidR="00CD4E8A" w:rsidRDefault="00CD4E8A">
      <w:pPr>
        <w:pStyle w:val="Voetnoottekst"/>
      </w:pPr>
    </w:p>
  </w:footnote>
  <w:footnote w:id="5">
    <w:p w14:paraId="20760BB9" w14:textId="77777777" w:rsidR="00CD4E8A" w:rsidRDefault="00CD4E8A">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442D" w14:textId="77777777" w:rsidR="00BF5DDD" w:rsidRDefault="009D404C" w:rsidP="00BF5DDD"/>
  <w:p w14:paraId="5C6F71C3" w14:textId="77777777" w:rsidR="00BF5DDD" w:rsidRDefault="0005091D" w:rsidP="00BF5DDD">
    <w:r>
      <w:rPr>
        <w:noProof/>
        <w:lang w:eastAsia="nl-NL"/>
      </w:rPr>
      <w:drawing>
        <wp:anchor distT="0" distB="0" distL="114300" distR="114300" simplePos="0" relativeHeight="251658240" behindDoc="1" locked="1" layoutInCell="1" allowOverlap="0" wp14:anchorId="5FA626D9" wp14:editId="042D3119">
          <wp:simplePos x="0" y="0"/>
          <wp:positionH relativeFrom="page">
            <wp:posOffset>396240</wp:posOffset>
          </wp:positionH>
          <wp:positionV relativeFrom="page">
            <wp:posOffset>396240</wp:posOffset>
          </wp:positionV>
          <wp:extent cx="2943860" cy="712470"/>
          <wp:effectExtent l="0" t="0" r="8890" b="0"/>
          <wp:wrapTight wrapText="bothSides">
            <wp:wrapPolygon edited="0">
              <wp:start x="0" y="0"/>
              <wp:lineTo x="0" y="20791"/>
              <wp:lineTo x="21525" y="20791"/>
              <wp:lineTo x="21525"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860" cy="712470"/>
                  </a:xfrm>
                  <a:prstGeom prst="rect">
                    <a:avLst/>
                  </a:prstGeom>
                  <a:noFill/>
                  <a:ln>
                    <a:noFill/>
                  </a:ln>
                </pic:spPr>
              </pic:pic>
            </a:graphicData>
          </a:graphic>
        </wp:anchor>
      </w:drawing>
    </w:r>
  </w:p>
  <w:tbl>
    <w:tblPr>
      <w:tblpPr w:leftFromText="142" w:rightFromText="142" w:vertAnchor="page" w:horzAnchor="page" w:tblpX="1192" w:tblpY="1986"/>
      <w:tblOverlap w:val="never"/>
      <w:tblW w:w="0" w:type="auto"/>
      <w:tblCellMar>
        <w:left w:w="0" w:type="dxa"/>
        <w:right w:w="0" w:type="dxa"/>
      </w:tblCellMar>
      <w:tblLook w:val="0000" w:firstRow="0" w:lastRow="0" w:firstColumn="0" w:lastColumn="0" w:noHBand="0" w:noVBand="0"/>
    </w:tblPr>
    <w:tblGrid>
      <w:gridCol w:w="908"/>
      <w:gridCol w:w="180"/>
      <w:gridCol w:w="8820"/>
    </w:tblGrid>
    <w:tr w:rsidR="00CD4E8A" w14:paraId="3DE131BE" w14:textId="77777777" w:rsidTr="004672C5">
      <w:tc>
        <w:tcPr>
          <w:tcW w:w="908" w:type="dxa"/>
          <w:tcBorders>
            <w:top w:val="nil"/>
            <w:left w:val="nil"/>
            <w:bottom w:val="nil"/>
            <w:right w:val="nil"/>
          </w:tcBorders>
        </w:tcPr>
        <w:p w14:paraId="3A6C2E5E" w14:textId="77777777" w:rsidR="00BF5DDD" w:rsidRDefault="0005091D" w:rsidP="004672C5">
          <w:pPr>
            <w:rPr>
              <w:lang w:val="en-GB"/>
            </w:rPr>
          </w:pPr>
          <w:r>
            <w:rPr>
              <w:lang w:val="en-GB"/>
            </w:rPr>
            <w:t>Zaaknr.</w:t>
          </w:r>
        </w:p>
      </w:tc>
      <w:tc>
        <w:tcPr>
          <w:tcW w:w="180" w:type="dxa"/>
          <w:tcBorders>
            <w:top w:val="nil"/>
            <w:left w:val="nil"/>
            <w:bottom w:val="nil"/>
            <w:right w:val="nil"/>
          </w:tcBorders>
        </w:tcPr>
        <w:p w14:paraId="633B8E88" w14:textId="77777777" w:rsidR="00BF5DDD" w:rsidRDefault="0005091D" w:rsidP="004672C5">
          <w:pPr>
            <w:rPr>
              <w:lang w:val="en-GB"/>
            </w:rPr>
          </w:pPr>
          <w:r>
            <w:rPr>
              <w:lang w:val="en-GB"/>
            </w:rPr>
            <w:t>:</w:t>
          </w:r>
        </w:p>
      </w:tc>
      <w:tc>
        <w:tcPr>
          <w:tcW w:w="8820" w:type="dxa"/>
          <w:tcBorders>
            <w:top w:val="nil"/>
            <w:left w:val="nil"/>
            <w:bottom w:val="nil"/>
            <w:right w:val="nil"/>
          </w:tcBorders>
        </w:tcPr>
        <w:p w14:paraId="7ED7F50F" w14:textId="77777777" w:rsidR="00BF5DDD" w:rsidRDefault="0005091D" w:rsidP="004672C5">
          <w:pPr>
            <w:rPr>
              <w:lang w:val="en-GB"/>
            </w:rPr>
          </w:pPr>
          <w:r>
            <w:rPr>
              <w:lang w:val="en-GB"/>
            </w:rPr>
            <w:t>584087</w:t>
          </w:r>
        </w:p>
      </w:tc>
    </w:tr>
    <w:tr w:rsidR="00CD4E8A" w14:paraId="2F95F49D" w14:textId="77777777" w:rsidTr="004672C5">
      <w:tc>
        <w:tcPr>
          <w:tcW w:w="908" w:type="dxa"/>
          <w:tcBorders>
            <w:top w:val="nil"/>
            <w:left w:val="nil"/>
            <w:bottom w:val="nil"/>
            <w:right w:val="nil"/>
          </w:tcBorders>
        </w:tcPr>
        <w:p w14:paraId="033E1214" w14:textId="77777777" w:rsidR="00BF5DDD" w:rsidRDefault="0005091D" w:rsidP="004672C5">
          <w:r>
            <w:t>Kenmerk</w:t>
          </w:r>
        </w:p>
      </w:tc>
      <w:tc>
        <w:tcPr>
          <w:tcW w:w="180" w:type="dxa"/>
          <w:tcBorders>
            <w:top w:val="nil"/>
            <w:left w:val="nil"/>
            <w:bottom w:val="nil"/>
            <w:right w:val="nil"/>
          </w:tcBorders>
        </w:tcPr>
        <w:p w14:paraId="7F484AC0" w14:textId="77777777" w:rsidR="00BF5DDD" w:rsidRDefault="0005091D" w:rsidP="004672C5">
          <w:r>
            <w:t>:</w:t>
          </w:r>
        </w:p>
      </w:tc>
      <w:tc>
        <w:tcPr>
          <w:tcW w:w="8820" w:type="dxa"/>
          <w:tcBorders>
            <w:top w:val="nil"/>
            <w:left w:val="nil"/>
            <w:bottom w:val="nil"/>
            <w:right w:val="nil"/>
          </w:tcBorders>
        </w:tcPr>
        <w:p w14:paraId="13689E84" w14:textId="77777777" w:rsidR="00BF5DDD" w:rsidRDefault="0005091D" w:rsidP="0023369F">
          <w:pPr>
            <w:rPr>
              <w:lang w:val="fr-FR"/>
            </w:rPr>
          </w:pPr>
          <w:r>
            <w:rPr>
              <w:lang w:val="fr-FR"/>
            </w:rPr>
            <w:t>661708</w:t>
          </w:r>
        </w:p>
      </w:tc>
    </w:tr>
  </w:tbl>
  <w:p w14:paraId="26D5E987" w14:textId="77777777" w:rsidR="00BF5DDD" w:rsidRDefault="009D404C" w:rsidP="00BF5DDD">
    <w:pPr>
      <w:spacing w:after="1320"/>
    </w:pPr>
  </w:p>
  <w:tbl>
    <w:tblPr>
      <w:tblW w:w="0" w:type="auto"/>
      <w:tblCellMar>
        <w:left w:w="0" w:type="dxa"/>
        <w:right w:w="0" w:type="dxa"/>
      </w:tblCellMar>
      <w:tblLook w:val="0000" w:firstRow="0" w:lastRow="0" w:firstColumn="0" w:lastColumn="0" w:noHBand="0" w:noVBand="0"/>
    </w:tblPr>
    <w:tblGrid>
      <w:gridCol w:w="9978"/>
    </w:tblGrid>
    <w:tr w:rsidR="00CD4E8A" w14:paraId="1E32C6A9" w14:textId="77777777" w:rsidTr="004672C5">
      <w:tc>
        <w:tcPr>
          <w:tcW w:w="9994" w:type="dxa"/>
        </w:tcPr>
        <w:p w14:paraId="776CA63F" w14:textId="77777777" w:rsidR="00BF5DDD" w:rsidRDefault="0005091D" w:rsidP="00B9016A">
          <w:pPr>
            <w:pStyle w:val="Titel12"/>
          </w:pPr>
          <w:r>
            <w:t>Toelichting kostentoedelingsverordening 2024</w:t>
          </w:r>
        </w:p>
      </w:tc>
    </w:tr>
  </w:tbl>
  <w:p w14:paraId="1CFBF9F8" w14:textId="77777777" w:rsidR="00BF5DDD" w:rsidRDefault="009D404C" w:rsidP="00BF5DDD"/>
  <w:p w14:paraId="09B157E5" w14:textId="77777777" w:rsidR="000A2159" w:rsidRPr="00BF5DDD" w:rsidRDefault="009D404C" w:rsidP="00BF5DD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168A6"/>
    <w:multiLevelType w:val="multilevel"/>
    <w:tmpl w:val="155840F0"/>
    <w:lvl w:ilvl="0">
      <w:start w:val="1"/>
      <w:numFmt w:val="decimal"/>
      <w:pStyle w:val="Verslagnummering"/>
      <w:suff w:val="nothing"/>
      <w:lvlText w:val="%1."/>
      <w:lvlJc w:val="left"/>
      <w:pPr>
        <w:ind w:left="0" w:firstLine="0"/>
      </w:pPr>
      <w:rPr>
        <w:rFonts w:hint="default"/>
      </w:rPr>
    </w:lvl>
    <w:lvl w:ilvl="1">
      <w:start w:val="1"/>
      <w:numFmt w:val="lowerLetter"/>
      <w:suff w:val="nothing"/>
      <w:lvlText w:val="%1.%2."/>
      <w:lvlJc w:val="left"/>
      <w:pPr>
        <w:ind w:left="0" w:firstLine="0"/>
      </w:pPr>
      <w:rPr>
        <w:rFonts w:hint="default"/>
      </w:rPr>
    </w:lvl>
    <w:lvl w:ilvl="2">
      <w:start w:val="1"/>
      <w:numFmt w:val="none"/>
      <w:lvlText w:val=""/>
      <w:lvlJc w:val="left"/>
      <w:pPr>
        <w:tabs>
          <w:tab w:val="num" w:pos="36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528E6398"/>
    <w:multiLevelType w:val="multilevel"/>
    <w:tmpl w:val="35264190"/>
    <w:name w:val="opsomming"/>
    <w:lvl w:ilvl="0">
      <w:start w:val="1"/>
      <w:numFmt w:val="bullet"/>
      <w:pStyle w:val="opsomming-"/>
      <w:lvlText w:val=""/>
      <w:lvlJc w:val="left"/>
      <w:pPr>
        <w:tabs>
          <w:tab w:val="num" w:pos="369"/>
        </w:tabs>
        <w:ind w:left="369" w:hanging="369"/>
      </w:pPr>
      <w:rPr>
        <w:rFonts w:ascii="Symbol" w:hAnsi="Symbol" w:hint="default"/>
      </w:rPr>
    </w:lvl>
    <w:lvl w:ilvl="1">
      <w:start w:val="1"/>
      <w:numFmt w:val="bullet"/>
      <w:lvlText w:val=""/>
      <w:lvlJc w:val="left"/>
      <w:pPr>
        <w:tabs>
          <w:tab w:val="num" w:pos="737"/>
        </w:tabs>
        <w:ind w:left="737" w:hanging="368"/>
      </w:pPr>
      <w:rPr>
        <w:rFonts w:ascii="Symbol" w:hAnsi="Symbol" w:hint="default"/>
      </w:rPr>
    </w:lvl>
    <w:lvl w:ilvl="2">
      <w:start w:val="1"/>
      <w:numFmt w:val="bullet"/>
      <w:lvlText w:val=""/>
      <w:lvlJc w:val="left"/>
      <w:pPr>
        <w:tabs>
          <w:tab w:val="num" w:pos="1106"/>
        </w:tabs>
        <w:ind w:left="1106" w:hanging="369"/>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787D1C86"/>
    <w:multiLevelType w:val="multilevel"/>
    <w:tmpl w:val="F1028612"/>
    <w:lvl w:ilvl="0">
      <w:start w:val="1"/>
      <w:numFmt w:val="decimal"/>
      <w:pStyle w:val="Opsomming1-"/>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bullet"/>
      <w:lvlText w:val=""/>
      <w:lvlJc w:val="left"/>
      <w:pPr>
        <w:tabs>
          <w:tab w:val="num" w:pos="992"/>
        </w:tabs>
        <w:ind w:left="992" w:hanging="283"/>
      </w:pPr>
      <w:rPr>
        <w:rFonts w:ascii="Symbol" w:hAnsi="Symbol" w:hint="default"/>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 w15:restartNumberingAfterBreak="0">
    <w:nsid w:val="798C417F"/>
    <w:multiLevelType w:val="multilevel"/>
    <w:tmpl w:val="BF20D8D6"/>
    <w:name w:val="opsomming2"/>
    <w:lvl w:ilvl="0">
      <w:start w:val="1"/>
      <w:numFmt w:val="decimal"/>
      <w:pStyle w:val="Rapportnummering"/>
      <w:lvlText w:val="%1."/>
      <w:lvlJc w:val="left"/>
      <w:pPr>
        <w:ind w:left="1134" w:hanging="1134"/>
      </w:pPr>
      <w:rPr>
        <w:rFonts w:hint="default"/>
        <w:b/>
        <w:i w:val="0"/>
      </w:rPr>
    </w:lvl>
    <w:lvl w:ilvl="1">
      <w:start w:val="1"/>
      <w:numFmt w:val="decimal"/>
      <w:lvlText w:val="%1.%2."/>
      <w:lvlJc w:val="left"/>
      <w:pPr>
        <w:ind w:left="1134" w:hanging="1134"/>
      </w:pPr>
      <w:rPr>
        <w:rFonts w:hint="default"/>
        <w:b/>
        <w:i w:val="0"/>
      </w:rPr>
    </w:lvl>
    <w:lvl w:ilvl="2">
      <w:start w:val="1"/>
      <w:numFmt w:val="decimal"/>
      <w:lvlText w:val="%1.%2.%3."/>
      <w:lvlJc w:val="left"/>
      <w:pPr>
        <w:ind w:left="1134" w:hanging="1134"/>
      </w:pPr>
      <w:rPr>
        <w:rFonts w:hint="default"/>
        <w:b/>
        <w:i w:val="0"/>
      </w:rPr>
    </w:lvl>
    <w:lvl w:ilvl="3">
      <w:start w:val="1"/>
      <w:numFmt w:val="decimal"/>
      <w:lvlText w:val="%1.%2.%3.%4."/>
      <w:lvlJc w:val="left"/>
      <w:pPr>
        <w:ind w:left="1134" w:hanging="1134"/>
      </w:pPr>
      <w:rPr>
        <w:rFonts w:hint="default"/>
        <w:b/>
        <w:i w:val="0"/>
      </w:rPr>
    </w:lvl>
    <w:lvl w:ilvl="4">
      <w:start w:val="1"/>
      <w:numFmt w:val="decimal"/>
      <w:lvlText w:val="%1.%2.%3.%4.%5."/>
      <w:lvlJc w:val="left"/>
      <w:pPr>
        <w:ind w:left="1134" w:hanging="1134"/>
      </w:pPr>
      <w:rPr>
        <w:rFonts w:hint="default"/>
        <w:b/>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798C4180"/>
    <w:multiLevelType w:val="hybridMultilevel"/>
    <w:tmpl w:val="00000001"/>
    <w:lvl w:ilvl="0" w:tplc="B60C9250">
      <w:start w:val="1"/>
      <w:numFmt w:val="bullet"/>
      <w:lvlText w:val=""/>
      <w:lvlJc w:val="left"/>
      <w:pPr>
        <w:tabs>
          <w:tab w:val="num" w:pos="720"/>
        </w:tabs>
        <w:ind w:left="720" w:hanging="360"/>
      </w:pPr>
      <w:rPr>
        <w:rFonts w:ascii="Symbol" w:hAnsi="Symbol"/>
        <w:bdr w:val="nil"/>
      </w:rPr>
    </w:lvl>
    <w:lvl w:ilvl="1" w:tplc="9C1A04B8">
      <w:start w:val="1"/>
      <w:numFmt w:val="bullet"/>
      <w:lvlText w:val="o"/>
      <w:lvlJc w:val="left"/>
      <w:pPr>
        <w:tabs>
          <w:tab w:val="num" w:pos="1440"/>
        </w:tabs>
        <w:ind w:left="1440" w:hanging="360"/>
      </w:pPr>
      <w:rPr>
        <w:rFonts w:ascii="Courier New" w:hAnsi="Courier New"/>
      </w:rPr>
    </w:lvl>
    <w:lvl w:ilvl="2" w:tplc="7B98DEF6">
      <w:start w:val="1"/>
      <w:numFmt w:val="bullet"/>
      <w:lvlText w:val=""/>
      <w:lvlJc w:val="left"/>
      <w:pPr>
        <w:tabs>
          <w:tab w:val="num" w:pos="2160"/>
        </w:tabs>
        <w:ind w:left="2160" w:hanging="360"/>
      </w:pPr>
      <w:rPr>
        <w:rFonts w:ascii="Wingdings" w:hAnsi="Wingdings"/>
      </w:rPr>
    </w:lvl>
    <w:lvl w:ilvl="3" w:tplc="2070B0CA">
      <w:start w:val="1"/>
      <w:numFmt w:val="bullet"/>
      <w:lvlText w:val=""/>
      <w:lvlJc w:val="left"/>
      <w:pPr>
        <w:tabs>
          <w:tab w:val="num" w:pos="2880"/>
        </w:tabs>
        <w:ind w:left="2880" w:hanging="360"/>
      </w:pPr>
      <w:rPr>
        <w:rFonts w:ascii="Symbol" w:hAnsi="Symbol"/>
      </w:rPr>
    </w:lvl>
    <w:lvl w:ilvl="4" w:tplc="E572FD16">
      <w:start w:val="1"/>
      <w:numFmt w:val="bullet"/>
      <w:lvlText w:val="o"/>
      <w:lvlJc w:val="left"/>
      <w:pPr>
        <w:tabs>
          <w:tab w:val="num" w:pos="3600"/>
        </w:tabs>
        <w:ind w:left="3600" w:hanging="360"/>
      </w:pPr>
      <w:rPr>
        <w:rFonts w:ascii="Courier New" w:hAnsi="Courier New"/>
      </w:rPr>
    </w:lvl>
    <w:lvl w:ilvl="5" w:tplc="D154FB76">
      <w:start w:val="1"/>
      <w:numFmt w:val="bullet"/>
      <w:lvlText w:val=""/>
      <w:lvlJc w:val="left"/>
      <w:pPr>
        <w:tabs>
          <w:tab w:val="num" w:pos="4320"/>
        </w:tabs>
        <w:ind w:left="4320" w:hanging="360"/>
      </w:pPr>
      <w:rPr>
        <w:rFonts w:ascii="Wingdings" w:hAnsi="Wingdings"/>
      </w:rPr>
    </w:lvl>
    <w:lvl w:ilvl="6" w:tplc="8798344C">
      <w:start w:val="1"/>
      <w:numFmt w:val="bullet"/>
      <w:lvlText w:val=""/>
      <w:lvlJc w:val="left"/>
      <w:pPr>
        <w:tabs>
          <w:tab w:val="num" w:pos="5040"/>
        </w:tabs>
        <w:ind w:left="5040" w:hanging="360"/>
      </w:pPr>
      <w:rPr>
        <w:rFonts w:ascii="Symbol" w:hAnsi="Symbol"/>
      </w:rPr>
    </w:lvl>
    <w:lvl w:ilvl="7" w:tplc="B89CEE22">
      <w:start w:val="1"/>
      <w:numFmt w:val="bullet"/>
      <w:lvlText w:val="o"/>
      <w:lvlJc w:val="left"/>
      <w:pPr>
        <w:tabs>
          <w:tab w:val="num" w:pos="5760"/>
        </w:tabs>
        <w:ind w:left="5760" w:hanging="360"/>
      </w:pPr>
      <w:rPr>
        <w:rFonts w:ascii="Courier New" w:hAnsi="Courier New"/>
      </w:rPr>
    </w:lvl>
    <w:lvl w:ilvl="8" w:tplc="1864015E">
      <w:start w:val="1"/>
      <w:numFmt w:val="bullet"/>
      <w:lvlText w:val=""/>
      <w:lvlJc w:val="left"/>
      <w:pPr>
        <w:tabs>
          <w:tab w:val="num" w:pos="6480"/>
        </w:tabs>
        <w:ind w:left="6480" w:hanging="360"/>
      </w:pPr>
      <w:rPr>
        <w:rFonts w:ascii="Wingdings" w:hAnsi="Wingdings"/>
      </w:rPr>
    </w:lvl>
  </w:abstractNum>
  <w:abstractNum w:abstractNumId="5" w15:restartNumberingAfterBreak="0">
    <w:nsid w:val="798C4181"/>
    <w:multiLevelType w:val="hybridMultilevel"/>
    <w:tmpl w:val="00000002"/>
    <w:lvl w:ilvl="0" w:tplc="AD3209E4">
      <w:start w:val="1"/>
      <w:numFmt w:val="bullet"/>
      <w:lvlText w:val=""/>
      <w:lvlJc w:val="left"/>
      <w:pPr>
        <w:tabs>
          <w:tab w:val="num" w:pos="720"/>
        </w:tabs>
        <w:ind w:left="720" w:hanging="360"/>
      </w:pPr>
      <w:rPr>
        <w:rFonts w:ascii="Symbol" w:hAnsi="Symbol"/>
        <w:bdr w:val="nil"/>
      </w:rPr>
    </w:lvl>
    <w:lvl w:ilvl="1" w:tplc="BB80B4A8">
      <w:start w:val="1"/>
      <w:numFmt w:val="bullet"/>
      <w:lvlText w:val="o"/>
      <w:lvlJc w:val="left"/>
      <w:pPr>
        <w:tabs>
          <w:tab w:val="num" w:pos="1440"/>
        </w:tabs>
        <w:ind w:left="1440" w:hanging="360"/>
      </w:pPr>
      <w:rPr>
        <w:rFonts w:ascii="Courier New" w:hAnsi="Courier New"/>
      </w:rPr>
    </w:lvl>
    <w:lvl w:ilvl="2" w:tplc="06ECCC6C">
      <w:start w:val="1"/>
      <w:numFmt w:val="bullet"/>
      <w:lvlText w:val=""/>
      <w:lvlJc w:val="left"/>
      <w:pPr>
        <w:tabs>
          <w:tab w:val="num" w:pos="2160"/>
        </w:tabs>
        <w:ind w:left="2160" w:hanging="360"/>
      </w:pPr>
      <w:rPr>
        <w:rFonts w:ascii="Wingdings" w:hAnsi="Wingdings"/>
      </w:rPr>
    </w:lvl>
    <w:lvl w:ilvl="3" w:tplc="E110CAE4">
      <w:start w:val="1"/>
      <w:numFmt w:val="bullet"/>
      <w:lvlText w:val=""/>
      <w:lvlJc w:val="left"/>
      <w:pPr>
        <w:tabs>
          <w:tab w:val="num" w:pos="2880"/>
        </w:tabs>
        <w:ind w:left="2880" w:hanging="360"/>
      </w:pPr>
      <w:rPr>
        <w:rFonts w:ascii="Symbol" w:hAnsi="Symbol"/>
      </w:rPr>
    </w:lvl>
    <w:lvl w:ilvl="4" w:tplc="008E8B96">
      <w:start w:val="1"/>
      <w:numFmt w:val="bullet"/>
      <w:lvlText w:val="o"/>
      <w:lvlJc w:val="left"/>
      <w:pPr>
        <w:tabs>
          <w:tab w:val="num" w:pos="3600"/>
        </w:tabs>
        <w:ind w:left="3600" w:hanging="360"/>
      </w:pPr>
      <w:rPr>
        <w:rFonts w:ascii="Courier New" w:hAnsi="Courier New"/>
      </w:rPr>
    </w:lvl>
    <w:lvl w:ilvl="5" w:tplc="61649B4E">
      <w:start w:val="1"/>
      <w:numFmt w:val="bullet"/>
      <w:lvlText w:val=""/>
      <w:lvlJc w:val="left"/>
      <w:pPr>
        <w:tabs>
          <w:tab w:val="num" w:pos="4320"/>
        </w:tabs>
        <w:ind w:left="4320" w:hanging="360"/>
      </w:pPr>
      <w:rPr>
        <w:rFonts w:ascii="Wingdings" w:hAnsi="Wingdings"/>
      </w:rPr>
    </w:lvl>
    <w:lvl w:ilvl="6" w:tplc="7D62A932">
      <w:start w:val="1"/>
      <w:numFmt w:val="bullet"/>
      <w:lvlText w:val=""/>
      <w:lvlJc w:val="left"/>
      <w:pPr>
        <w:tabs>
          <w:tab w:val="num" w:pos="5040"/>
        </w:tabs>
        <w:ind w:left="5040" w:hanging="360"/>
      </w:pPr>
      <w:rPr>
        <w:rFonts w:ascii="Symbol" w:hAnsi="Symbol"/>
      </w:rPr>
    </w:lvl>
    <w:lvl w:ilvl="7" w:tplc="839C855E">
      <w:start w:val="1"/>
      <w:numFmt w:val="bullet"/>
      <w:lvlText w:val="o"/>
      <w:lvlJc w:val="left"/>
      <w:pPr>
        <w:tabs>
          <w:tab w:val="num" w:pos="5760"/>
        </w:tabs>
        <w:ind w:left="5760" w:hanging="360"/>
      </w:pPr>
      <w:rPr>
        <w:rFonts w:ascii="Courier New" w:hAnsi="Courier New"/>
      </w:rPr>
    </w:lvl>
    <w:lvl w:ilvl="8" w:tplc="CEA8AD80">
      <w:start w:val="1"/>
      <w:numFmt w:val="bullet"/>
      <w:lvlText w:val=""/>
      <w:lvlJc w:val="left"/>
      <w:pPr>
        <w:tabs>
          <w:tab w:val="num" w:pos="6480"/>
        </w:tabs>
        <w:ind w:left="6480" w:hanging="360"/>
      </w:pPr>
      <w:rPr>
        <w:rFonts w:ascii="Wingdings" w:hAnsi="Wingdings"/>
      </w:rPr>
    </w:lvl>
  </w:abstractNum>
  <w:abstractNum w:abstractNumId="6" w15:restartNumberingAfterBreak="0">
    <w:nsid w:val="798C4182"/>
    <w:multiLevelType w:val="hybridMultilevel"/>
    <w:tmpl w:val="00000003"/>
    <w:lvl w:ilvl="0" w:tplc="3C086BD4">
      <w:start w:val="1"/>
      <w:numFmt w:val="bullet"/>
      <w:lvlText w:val=""/>
      <w:lvlJc w:val="left"/>
      <w:pPr>
        <w:tabs>
          <w:tab w:val="num" w:pos="720"/>
        </w:tabs>
        <w:ind w:left="720" w:hanging="360"/>
      </w:pPr>
      <w:rPr>
        <w:rFonts w:ascii="Symbol" w:hAnsi="Symbol"/>
        <w:bdr w:val="nil"/>
      </w:rPr>
    </w:lvl>
    <w:lvl w:ilvl="1" w:tplc="12DCFD3C">
      <w:start w:val="1"/>
      <w:numFmt w:val="bullet"/>
      <w:lvlText w:val="o"/>
      <w:lvlJc w:val="left"/>
      <w:pPr>
        <w:tabs>
          <w:tab w:val="num" w:pos="1440"/>
        </w:tabs>
        <w:ind w:left="1440" w:hanging="360"/>
      </w:pPr>
      <w:rPr>
        <w:rFonts w:ascii="Courier New" w:hAnsi="Courier New"/>
      </w:rPr>
    </w:lvl>
    <w:lvl w:ilvl="2" w:tplc="75441A3E">
      <w:start w:val="1"/>
      <w:numFmt w:val="bullet"/>
      <w:lvlText w:val=""/>
      <w:lvlJc w:val="left"/>
      <w:pPr>
        <w:tabs>
          <w:tab w:val="num" w:pos="2160"/>
        </w:tabs>
        <w:ind w:left="2160" w:hanging="360"/>
      </w:pPr>
      <w:rPr>
        <w:rFonts w:ascii="Wingdings" w:hAnsi="Wingdings"/>
      </w:rPr>
    </w:lvl>
    <w:lvl w:ilvl="3" w:tplc="18A2804A">
      <w:start w:val="1"/>
      <w:numFmt w:val="bullet"/>
      <w:lvlText w:val=""/>
      <w:lvlJc w:val="left"/>
      <w:pPr>
        <w:tabs>
          <w:tab w:val="num" w:pos="2880"/>
        </w:tabs>
        <w:ind w:left="2880" w:hanging="360"/>
      </w:pPr>
      <w:rPr>
        <w:rFonts w:ascii="Symbol" w:hAnsi="Symbol"/>
      </w:rPr>
    </w:lvl>
    <w:lvl w:ilvl="4" w:tplc="0C58E1E0">
      <w:start w:val="1"/>
      <w:numFmt w:val="bullet"/>
      <w:lvlText w:val="o"/>
      <w:lvlJc w:val="left"/>
      <w:pPr>
        <w:tabs>
          <w:tab w:val="num" w:pos="3600"/>
        </w:tabs>
        <w:ind w:left="3600" w:hanging="360"/>
      </w:pPr>
      <w:rPr>
        <w:rFonts w:ascii="Courier New" w:hAnsi="Courier New"/>
      </w:rPr>
    </w:lvl>
    <w:lvl w:ilvl="5" w:tplc="06EABA46">
      <w:start w:val="1"/>
      <w:numFmt w:val="bullet"/>
      <w:lvlText w:val=""/>
      <w:lvlJc w:val="left"/>
      <w:pPr>
        <w:tabs>
          <w:tab w:val="num" w:pos="4320"/>
        </w:tabs>
        <w:ind w:left="4320" w:hanging="360"/>
      </w:pPr>
      <w:rPr>
        <w:rFonts w:ascii="Wingdings" w:hAnsi="Wingdings"/>
      </w:rPr>
    </w:lvl>
    <w:lvl w:ilvl="6" w:tplc="A2AC1282">
      <w:start w:val="1"/>
      <w:numFmt w:val="bullet"/>
      <w:lvlText w:val=""/>
      <w:lvlJc w:val="left"/>
      <w:pPr>
        <w:tabs>
          <w:tab w:val="num" w:pos="5040"/>
        </w:tabs>
        <w:ind w:left="5040" w:hanging="360"/>
      </w:pPr>
      <w:rPr>
        <w:rFonts w:ascii="Symbol" w:hAnsi="Symbol"/>
      </w:rPr>
    </w:lvl>
    <w:lvl w:ilvl="7" w:tplc="40FC549C">
      <w:start w:val="1"/>
      <w:numFmt w:val="bullet"/>
      <w:lvlText w:val="o"/>
      <w:lvlJc w:val="left"/>
      <w:pPr>
        <w:tabs>
          <w:tab w:val="num" w:pos="5760"/>
        </w:tabs>
        <w:ind w:left="5760" w:hanging="360"/>
      </w:pPr>
      <w:rPr>
        <w:rFonts w:ascii="Courier New" w:hAnsi="Courier New"/>
      </w:rPr>
    </w:lvl>
    <w:lvl w:ilvl="8" w:tplc="7B7CC8F6">
      <w:start w:val="1"/>
      <w:numFmt w:val="bullet"/>
      <w:lvlText w:val=""/>
      <w:lvlJc w:val="left"/>
      <w:pPr>
        <w:tabs>
          <w:tab w:val="num" w:pos="6480"/>
        </w:tabs>
        <w:ind w:left="6480" w:hanging="360"/>
      </w:pPr>
      <w:rPr>
        <w:rFonts w:ascii="Wingdings" w:hAnsi="Wingdings"/>
      </w:rPr>
    </w:lvl>
  </w:abstractNum>
  <w:num w:numId="1" w16cid:durableId="284502732">
    <w:abstractNumId w:val="1"/>
  </w:num>
  <w:num w:numId="2" w16cid:durableId="622267174">
    <w:abstractNumId w:val="2"/>
  </w:num>
  <w:num w:numId="3" w16cid:durableId="634525115">
    <w:abstractNumId w:val="3"/>
  </w:num>
  <w:num w:numId="4" w16cid:durableId="1078093505">
    <w:abstractNumId w:val="0"/>
  </w:num>
  <w:num w:numId="5" w16cid:durableId="486753577">
    <w:abstractNumId w:val="4"/>
  </w:num>
  <w:num w:numId="6" w16cid:durableId="146439458">
    <w:abstractNumId w:val="5"/>
  </w:num>
  <w:num w:numId="7" w16cid:durableId="15434007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E8A"/>
    <w:rsid w:val="0005091D"/>
    <w:rsid w:val="00824BC0"/>
    <w:rsid w:val="008A23CC"/>
    <w:rsid w:val="009D404C"/>
    <w:rsid w:val="00AB73D8"/>
    <w:rsid w:val="00CD4E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C24495"/>
  <w15:docId w15:val="{9CF90BDE-DA6F-4A77-89F9-C5F63EC8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21" w:unhideWhenUsed="1" w:qFormat="1"/>
    <w:lsdException w:name="heading 5" w:semiHidden="1" w:uiPriority="21" w:unhideWhenUsed="1" w:qFormat="1"/>
    <w:lsdException w:name="heading 6" w:semiHidden="1" w:uiPriority="21" w:unhideWhenUsed="1" w:qFormat="1"/>
    <w:lsdException w:name="heading 7" w:semiHidden="1" w:uiPriority="21" w:unhideWhenUsed="1" w:qFormat="1"/>
    <w:lsdException w:name="heading 8" w:semiHidden="1" w:uiPriority="21" w:unhideWhenUsed="1" w:qFormat="1"/>
    <w:lsdException w:name="heading 9" w:semiHidden="1" w:uiPriority="2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9" w:unhideWhenUsed="1"/>
    <w:lsdException w:name="toc 2" w:semiHidden="1" w:uiPriority="19" w:unhideWhenUsed="1"/>
    <w:lsdException w:name="toc 3" w:semiHidden="1" w:uiPriority="1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1564"/>
    <w:pPr>
      <w:spacing w:after="0" w:line="240" w:lineRule="auto"/>
    </w:pPr>
    <w:rPr>
      <w:rFonts w:ascii="Verdana" w:hAnsi="Verdana"/>
      <w:sz w:val="18"/>
    </w:rPr>
  </w:style>
  <w:style w:type="paragraph" w:styleId="Kop1">
    <w:name w:val="heading 1"/>
    <w:basedOn w:val="Standaard"/>
    <w:next w:val="Standaard"/>
    <w:link w:val="Kop1Char"/>
    <w:uiPriority w:val="3"/>
    <w:qFormat/>
    <w:rsid w:val="00140367"/>
    <w:pPr>
      <w:keepNext/>
      <w:spacing w:before="240" w:after="60"/>
      <w:outlineLvl w:val="0"/>
    </w:pPr>
    <w:rPr>
      <w:rFonts w:cs="Arial"/>
      <w:b/>
      <w:bCs/>
      <w:sz w:val="24"/>
      <w:szCs w:val="32"/>
    </w:rPr>
  </w:style>
  <w:style w:type="paragraph" w:styleId="Kop2">
    <w:name w:val="heading 2"/>
    <w:basedOn w:val="Kop1"/>
    <w:next w:val="Standaard"/>
    <w:link w:val="Kop2Char"/>
    <w:uiPriority w:val="4"/>
    <w:qFormat/>
    <w:rsid w:val="00140367"/>
    <w:pPr>
      <w:outlineLvl w:val="1"/>
    </w:pPr>
    <w:rPr>
      <w:bCs w:val="0"/>
      <w:iCs/>
      <w:sz w:val="22"/>
      <w:szCs w:val="28"/>
    </w:rPr>
  </w:style>
  <w:style w:type="paragraph" w:styleId="Kop3">
    <w:name w:val="heading 3"/>
    <w:basedOn w:val="Kop2"/>
    <w:next w:val="Standaard"/>
    <w:link w:val="Kop3Char"/>
    <w:uiPriority w:val="5"/>
    <w:qFormat/>
    <w:rsid w:val="00140367"/>
    <w:pPr>
      <w:outlineLvl w:val="2"/>
    </w:pPr>
    <w:rPr>
      <w:bCs/>
      <w:sz w:val="20"/>
      <w:szCs w:val="26"/>
    </w:rPr>
  </w:style>
  <w:style w:type="paragraph" w:styleId="Kop4">
    <w:name w:val="heading 4"/>
    <w:basedOn w:val="Standaard"/>
    <w:next w:val="Standaard"/>
    <w:link w:val="Kop4Char"/>
    <w:uiPriority w:val="21"/>
    <w:semiHidden/>
    <w:rsid w:val="00140367"/>
    <w:pPr>
      <w:outlineLvl w:val="3"/>
    </w:pPr>
    <w:rPr>
      <w:b/>
    </w:rPr>
  </w:style>
  <w:style w:type="paragraph" w:styleId="Kop5">
    <w:name w:val="heading 5"/>
    <w:basedOn w:val="Standaard"/>
    <w:next w:val="Standaard"/>
    <w:link w:val="Kop5Char"/>
    <w:uiPriority w:val="21"/>
    <w:semiHidden/>
    <w:rsid w:val="00140367"/>
    <w:pPr>
      <w:outlineLvl w:val="4"/>
    </w:pPr>
    <w:rPr>
      <w:b/>
    </w:rPr>
  </w:style>
  <w:style w:type="paragraph" w:styleId="Kop6">
    <w:name w:val="heading 6"/>
    <w:basedOn w:val="Standaard"/>
    <w:next w:val="Standaard"/>
    <w:link w:val="Kop6Char"/>
    <w:uiPriority w:val="21"/>
    <w:semiHidden/>
    <w:rsid w:val="00140367"/>
    <w:pPr>
      <w:outlineLvl w:val="5"/>
    </w:pPr>
    <w:rPr>
      <w:b/>
    </w:rPr>
  </w:style>
  <w:style w:type="paragraph" w:styleId="Kop7">
    <w:name w:val="heading 7"/>
    <w:basedOn w:val="Standaard"/>
    <w:next w:val="Standaard"/>
    <w:link w:val="Kop7Char"/>
    <w:uiPriority w:val="21"/>
    <w:semiHidden/>
    <w:rsid w:val="00140367"/>
    <w:pPr>
      <w:outlineLvl w:val="6"/>
    </w:pPr>
    <w:rPr>
      <w:b/>
    </w:rPr>
  </w:style>
  <w:style w:type="paragraph" w:styleId="Kop8">
    <w:name w:val="heading 8"/>
    <w:basedOn w:val="Standaard"/>
    <w:next w:val="Standaard"/>
    <w:link w:val="Kop8Char"/>
    <w:uiPriority w:val="21"/>
    <w:semiHidden/>
    <w:rsid w:val="00140367"/>
    <w:pPr>
      <w:keepNext/>
      <w:keepLines/>
      <w:spacing w:before="200"/>
      <w:outlineLvl w:val="7"/>
    </w:pPr>
    <w:rPr>
      <w:rFonts w:eastAsiaTheme="majorEastAsia" w:cstheme="majorBidi"/>
      <w:b/>
      <w:color w:val="404040" w:themeColor="text1" w:themeTint="BF"/>
    </w:rPr>
  </w:style>
  <w:style w:type="paragraph" w:styleId="Kop9">
    <w:name w:val="heading 9"/>
    <w:basedOn w:val="Standaard"/>
    <w:next w:val="Standaard"/>
    <w:link w:val="Kop9Char"/>
    <w:uiPriority w:val="21"/>
    <w:semiHidden/>
    <w:rsid w:val="00140367"/>
    <w:pPr>
      <w:keepNext/>
      <w:keepLines/>
      <w:spacing w:before="200"/>
      <w:outlineLvl w:val="8"/>
    </w:pPr>
    <w:rPr>
      <w:rFonts w:eastAsiaTheme="majorEastAsia" w:cstheme="majorBidi"/>
      <w:b/>
      <w:iCs/>
      <w:color w:val="404040" w:themeColor="text1" w:themeTint="BF"/>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rsaBarcode">
    <w:name w:val="CorsaBarcode"/>
    <w:basedOn w:val="Standaard"/>
    <w:next w:val="Standaard"/>
    <w:link w:val="CorsaBarcodeChar"/>
    <w:rsid w:val="00140367"/>
    <w:rPr>
      <w:rFonts w:ascii="Z: 3of 9 BarCode" w:hAnsi="Z: 3of 9 BarCode"/>
      <w:iCs/>
      <w:color w:val="000000" w:themeColor="text1"/>
      <w:sz w:val="28"/>
      <w:szCs w:val="28"/>
    </w:rPr>
  </w:style>
  <w:style w:type="character" w:customStyle="1" w:styleId="CorsaBarcodeChar">
    <w:name w:val="CorsaBarcode Char"/>
    <w:basedOn w:val="Standaardalinea-lettertype"/>
    <w:link w:val="CorsaBarcode"/>
    <w:uiPriority w:val="17"/>
    <w:rsid w:val="00140367"/>
    <w:rPr>
      <w:rFonts w:ascii="Z: 3of 9 BarCode" w:eastAsia="Times New Roman" w:hAnsi="Z: 3of 9 BarCode" w:cs="Times New Roman"/>
      <w:iCs/>
      <w:color w:val="000000" w:themeColor="text1"/>
      <w:sz w:val="28"/>
      <w:szCs w:val="28"/>
      <w:lang w:eastAsia="nl-NL"/>
    </w:rPr>
  </w:style>
  <w:style w:type="paragraph" w:customStyle="1" w:styleId="hoogachtend">
    <w:name w:val="hoogachtend"/>
    <w:basedOn w:val="Standaard"/>
    <w:rsid w:val="00140367"/>
    <w:pPr>
      <w:tabs>
        <w:tab w:val="left" w:pos="3119"/>
        <w:tab w:val="left" w:pos="3189"/>
        <w:tab w:val="left" w:pos="10118"/>
      </w:tabs>
      <w:spacing w:before="400"/>
    </w:pPr>
    <w:rPr>
      <w:szCs w:val="24"/>
    </w:rPr>
  </w:style>
  <w:style w:type="paragraph" w:styleId="Inhopg1">
    <w:name w:val="toc 1"/>
    <w:basedOn w:val="Standaard"/>
    <w:next w:val="Standaard"/>
    <w:autoRedefine/>
    <w:uiPriority w:val="19"/>
    <w:unhideWhenUsed/>
    <w:rsid w:val="00140367"/>
    <w:pPr>
      <w:spacing w:after="100"/>
    </w:pPr>
    <w:rPr>
      <w:rFonts w:eastAsiaTheme="minorEastAsia"/>
      <w:b/>
    </w:rPr>
  </w:style>
  <w:style w:type="paragraph" w:styleId="Inhopg2">
    <w:name w:val="toc 2"/>
    <w:basedOn w:val="Standaard"/>
    <w:next w:val="Standaard"/>
    <w:autoRedefine/>
    <w:uiPriority w:val="19"/>
    <w:unhideWhenUsed/>
    <w:rsid w:val="00140367"/>
    <w:pPr>
      <w:spacing w:after="100"/>
    </w:pPr>
    <w:rPr>
      <w:rFonts w:eastAsiaTheme="minorEastAsia"/>
    </w:rPr>
  </w:style>
  <w:style w:type="paragraph" w:styleId="Inhopg3">
    <w:name w:val="toc 3"/>
    <w:basedOn w:val="Standaard"/>
    <w:next w:val="Standaard"/>
    <w:autoRedefine/>
    <w:uiPriority w:val="19"/>
    <w:unhideWhenUsed/>
    <w:rsid w:val="00140367"/>
    <w:pPr>
      <w:spacing w:after="100"/>
    </w:pPr>
    <w:rPr>
      <w:rFonts w:eastAsiaTheme="minorEastAsia"/>
    </w:rPr>
  </w:style>
  <w:style w:type="paragraph" w:customStyle="1" w:styleId="KenmerkenBrief">
    <w:name w:val="KenmerkenBrief"/>
    <w:basedOn w:val="Standaard"/>
    <w:next w:val="Standaard"/>
    <w:uiPriority w:val="15"/>
    <w:qFormat/>
    <w:rsid w:val="00140367"/>
    <w:rPr>
      <w:sz w:val="16"/>
    </w:rPr>
  </w:style>
  <w:style w:type="paragraph" w:customStyle="1" w:styleId="KIXcode">
    <w:name w:val="KIXcode"/>
    <w:basedOn w:val="Standaard"/>
    <w:next w:val="Standaard"/>
    <w:link w:val="KIXcodeChar"/>
    <w:uiPriority w:val="18"/>
    <w:rsid w:val="00140367"/>
    <w:rPr>
      <w:rFonts w:ascii="KIX Barcode" w:hAnsi="KIX Barcode"/>
    </w:rPr>
  </w:style>
  <w:style w:type="character" w:customStyle="1" w:styleId="KIXcodeChar">
    <w:name w:val="KIXcode Char"/>
    <w:basedOn w:val="Standaardalinea-lettertype"/>
    <w:link w:val="KIXcode"/>
    <w:uiPriority w:val="18"/>
    <w:rsid w:val="00140367"/>
    <w:rPr>
      <w:rFonts w:ascii="KIX Barcode" w:eastAsia="Times New Roman" w:hAnsi="KIX Barcode" w:cs="Times New Roman"/>
      <w:sz w:val="18"/>
      <w:szCs w:val="20"/>
      <w:lang w:eastAsia="nl-NL"/>
    </w:rPr>
  </w:style>
  <w:style w:type="character" w:customStyle="1" w:styleId="Kop1Char">
    <w:name w:val="Kop 1 Char"/>
    <w:basedOn w:val="Standaardalinea-lettertype"/>
    <w:link w:val="Kop1"/>
    <w:uiPriority w:val="3"/>
    <w:rsid w:val="00140367"/>
    <w:rPr>
      <w:rFonts w:ascii="Verdana" w:eastAsia="Times New Roman" w:hAnsi="Verdana" w:cs="Arial"/>
      <w:b/>
      <w:bCs/>
      <w:sz w:val="24"/>
      <w:szCs w:val="32"/>
      <w:lang w:eastAsia="nl-NL"/>
    </w:rPr>
  </w:style>
  <w:style w:type="character" w:customStyle="1" w:styleId="Kop2Char">
    <w:name w:val="Kop 2 Char"/>
    <w:basedOn w:val="Standaardalinea-lettertype"/>
    <w:link w:val="Kop2"/>
    <w:uiPriority w:val="4"/>
    <w:rsid w:val="00140367"/>
    <w:rPr>
      <w:rFonts w:ascii="Verdana" w:eastAsia="Times New Roman" w:hAnsi="Verdana" w:cs="Arial"/>
      <w:b/>
      <w:iCs/>
      <w:szCs w:val="28"/>
      <w:lang w:eastAsia="nl-NL"/>
    </w:rPr>
  </w:style>
  <w:style w:type="character" w:customStyle="1" w:styleId="Kop3Char">
    <w:name w:val="Kop 3 Char"/>
    <w:basedOn w:val="Standaardalinea-lettertype"/>
    <w:link w:val="Kop3"/>
    <w:uiPriority w:val="5"/>
    <w:rsid w:val="00140367"/>
    <w:rPr>
      <w:rFonts w:ascii="Verdana" w:eastAsia="Times New Roman" w:hAnsi="Verdana" w:cs="Arial"/>
      <w:b/>
      <w:bCs/>
      <w:iCs/>
      <w:sz w:val="20"/>
      <w:szCs w:val="26"/>
      <w:lang w:eastAsia="nl-NL"/>
    </w:rPr>
  </w:style>
  <w:style w:type="character" w:customStyle="1" w:styleId="Kop4Char">
    <w:name w:val="Kop 4 Char"/>
    <w:basedOn w:val="Standaardalinea-lettertype"/>
    <w:link w:val="Kop4"/>
    <w:uiPriority w:val="21"/>
    <w:semiHidden/>
    <w:rsid w:val="00140367"/>
    <w:rPr>
      <w:rFonts w:ascii="Verdana" w:eastAsia="Times New Roman" w:hAnsi="Verdana" w:cs="Times New Roman"/>
      <w:b/>
      <w:sz w:val="18"/>
      <w:szCs w:val="20"/>
      <w:lang w:eastAsia="nl-NL"/>
    </w:rPr>
  </w:style>
  <w:style w:type="character" w:customStyle="1" w:styleId="Kop5Char">
    <w:name w:val="Kop 5 Char"/>
    <w:basedOn w:val="Standaardalinea-lettertype"/>
    <w:link w:val="Kop5"/>
    <w:uiPriority w:val="21"/>
    <w:semiHidden/>
    <w:rsid w:val="00140367"/>
    <w:rPr>
      <w:rFonts w:ascii="Verdana" w:eastAsia="Times New Roman" w:hAnsi="Verdana" w:cs="Times New Roman"/>
      <w:b/>
      <w:sz w:val="18"/>
      <w:szCs w:val="20"/>
      <w:lang w:eastAsia="nl-NL"/>
    </w:rPr>
  </w:style>
  <w:style w:type="character" w:customStyle="1" w:styleId="Kop6Char">
    <w:name w:val="Kop 6 Char"/>
    <w:basedOn w:val="Standaardalinea-lettertype"/>
    <w:link w:val="Kop6"/>
    <w:uiPriority w:val="21"/>
    <w:semiHidden/>
    <w:rsid w:val="00140367"/>
    <w:rPr>
      <w:rFonts w:ascii="Verdana" w:eastAsia="Times New Roman" w:hAnsi="Verdana" w:cs="Times New Roman"/>
      <w:b/>
      <w:sz w:val="18"/>
      <w:szCs w:val="20"/>
      <w:lang w:eastAsia="nl-NL"/>
    </w:rPr>
  </w:style>
  <w:style w:type="character" w:customStyle="1" w:styleId="Kop7Char">
    <w:name w:val="Kop 7 Char"/>
    <w:basedOn w:val="Standaardalinea-lettertype"/>
    <w:link w:val="Kop7"/>
    <w:uiPriority w:val="21"/>
    <w:semiHidden/>
    <w:rsid w:val="00140367"/>
    <w:rPr>
      <w:rFonts w:ascii="Verdana" w:eastAsia="Times New Roman" w:hAnsi="Verdana" w:cs="Times New Roman"/>
      <w:b/>
      <w:sz w:val="18"/>
      <w:szCs w:val="20"/>
      <w:lang w:eastAsia="nl-NL"/>
    </w:rPr>
  </w:style>
  <w:style w:type="character" w:customStyle="1" w:styleId="Kop8Char">
    <w:name w:val="Kop 8 Char"/>
    <w:basedOn w:val="Standaardalinea-lettertype"/>
    <w:link w:val="Kop8"/>
    <w:uiPriority w:val="21"/>
    <w:semiHidden/>
    <w:rsid w:val="00140367"/>
    <w:rPr>
      <w:rFonts w:ascii="Verdana" w:eastAsiaTheme="majorEastAsia" w:hAnsi="Verdana" w:cstheme="majorBidi"/>
      <w:b/>
      <w:color w:val="404040" w:themeColor="text1" w:themeTint="BF"/>
      <w:sz w:val="18"/>
      <w:szCs w:val="20"/>
      <w:lang w:eastAsia="nl-NL"/>
    </w:rPr>
  </w:style>
  <w:style w:type="character" w:customStyle="1" w:styleId="Kop9Char">
    <w:name w:val="Kop 9 Char"/>
    <w:basedOn w:val="Standaardalinea-lettertype"/>
    <w:link w:val="Kop9"/>
    <w:uiPriority w:val="21"/>
    <w:semiHidden/>
    <w:rsid w:val="00140367"/>
    <w:rPr>
      <w:rFonts w:ascii="Verdana" w:eastAsiaTheme="majorEastAsia" w:hAnsi="Verdana" w:cstheme="majorBidi"/>
      <w:b/>
      <w:iCs/>
      <w:color w:val="404040" w:themeColor="text1" w:themeTint="BF"/>
      <w:sz w:val="18"/>
      <w:szCs w:val="18"/>
      <w:lang w:eastAsia="nl-NL"/>
    </w:rPr>
  </w:style>
  <w:style w:type="paragraph" w:styleId="Koptekst">
    <w:name w:val="header"/>
    <w:basedOn w:val="Standaard"/>
    <w:link w:val="KoptekstChar"/>
    <w:rsid w:val="00140367"/>
    <w:pPr>
      <w:tabs>
        <w:tab w:val="center" w:pos="4536"/>
        <w:tab w:val="right" w:pos="9072"/>
      </w:tabs>
    </w:pPr>
  </w:style>
  <w:style w:type="character" w:customStyle="1" w:styleId="KoptekstChar">
    <w:name w:val="Koptekst Char"/>
    <w:basedOn w:val="Standaardalinea-lettertype"/>
    <w:link w:val="Koptekst"/>
    <w:rsid w:val="00140367"/>
    <w:rPr>
      <w:rFonts w:ascii="Verdana" w:eastAsia="Times New Roman" w:hAnsi="Verdana" w:cs="Times New Roman"/>
      <w:sz w:val="18"/>
      <w:szCs w:val="20"/>
      <w:lang w:eastAsia="nl-NL"/>
    </w:rPr>
  </w:style>
  <w:style w:type="paragraph" w:customStyle="1" w:styleId="naam">
    <w:name w:val="naam"/>
    <w:basedOn w:val="Standaard"/>
    <w:autoRedefine/>
    <w:rsid w:val="00140367"/>
    <w:pPr>
      <w:spacing w:before="800"/>
      <w:jc w:val="both"/>
    </w:pPr>
  </w:style>
  <w:style w:type="paragraph" w:customStyle="1" w:styleId="opsomming-">
    <w:name w:val="opsomming *-"/>
    <w:basedOn w:val="Standaard"/>
    <w:uiPriority w:val="2"/>
    <w:qFormat/>
    <w:rsid w:val="00140367"/>
    <w:pPr>
      <w:numPr>
        <w:numId w:val="1"/>
      </w:numPr>
    </w:pPr>
  </w:style>
  <w:style w:type="paragraph" w:customStyle="1" w:styleId="Opsomming1-">
    <w:name w:val="Opsomming 1*-"/>
    <w:basedOn w:val="Standaard"/>
    <w:uiPriority w:val="1"/>
    <w:qFormat/>
    <w:rsid w:val="00140367"/>
    <w:pPr>
      <w:numPr>
        <w:numId w:val="2"/>
      </w:numPr>
    </w:pPr>
  </w:style>
  <w:style w:type="character" w:styleId="Paginanummer">
    <w:name w:val="page number"/>
    <w:basedOn w:val="Standaardalinea-lettertype"/>
    <w:semiHidden/>
    <w:rsid w:val="00140367"/>
  </w:style>
  <w:style w:type="paragraph" w:customStyle="1" w:styleId="Rapportnummering">
    <w:name w:val="Rapportnummering"/>
    <w:basedOn w:val="Standaard"/>
    <w:uiPriority w:val="8"/>
    <w:qFormat/>
    <w:rsid w:val="00140367"/>
    <w:pPr>
      <w:numPr>
        <w:numId w:val="3"/>
      </w:numPr>
      <w:contextualSpacing/>
    </w:pPr>
    <w:rPr>
      <w:b/>
      <w:noProof/>
    </w:rPr>
  </w:style>
  <w:style w:type="paragraph" w:customStyle="1" w:styleId="Titel12">
    <w:name w:val="Titel12"/>
    <w:basedOn w:val="Standaard"/>
    <w:link w:val="Titel12Char"/>
    <w:qFormat/>
    <w:rsid w:val="00140367"/>
    <w:rPr>
      <w:b/>
      <w:sz w:val="24"/>
    </w:rPr>
  </w:style>
  <w:style w:type="character" w:customStyle="1" w:styleId="Titel12Char">
    <w:name w:val="Titel12 Char"/>
    <w:basedOn w:val="Standaardalinea-lettertype"/>
    <w:link w:val="Titel12"/>
    <w:uiPriority w:val="9"/>
    <w:rsid w:val="00140367"/>
    <w:rPr>
      <w:rFonts w:ascii="Verdana" w:eastAsia="Times New Roman" w:hAnsi="Verdana" w:cs="Times New Roman"/>
      <w:b/>
      <w:sz w:val="24"/>
      <w:szCs w:val="20"/>
      <w:lang w:eastAsia="nl-NL"/>
    </w:rPr>
  </w:style>
  <w:style w:type="paragraph" w:customStyle="1" w:styleId="Titel20">
    <w:name w:val="Titel20"/>
    <w:basedOn w:val="Standaard"/>
    <w:link w:val="Titel20Char"/>
    <w:uiPriority w:val="10"/>
    <w:qFormat/>
    <w:rsid w:val="00140367"/>
    <w:rPr>
      <w:b/>
      <w:sz w:val="40"/>
    </w:rPr>
  </w:style>
  <w:style w:type="character" w:customStyle="1" w:styleId="Titel20Char">
    <w:name w:val="Titel20 Char"/>
    <w:basedOn w:val="Standaardalinea-lettertype"/>
    <w:link w:val="Titel20"/>
    <w:uiPriority w:val="10"/>
    <w:rsid w:val="00140367"/>
    <w:rPr>
      <w:rFonts w:ascii="Verdana" w:eastAsia="Times New Roman" w:hAnsi="Verdana" w:cs="Times New Roman"/>
      <w:b/>
      <w:sz w:val="40"/>
      <w:szCs w:val="20"/>
      <w:lang w:eastAsia="nl-NL"/>
    </w:rPr>
  </w:style>
  <w:style w:type="paragraph" w:customStyle="1" w:styleId="VerborgenTekst">
    <w:name w:val="VerborgenTekst"/>
    <w:basedOn w:val="Standaard"/>
    <w:next w:val="Standaard"/>
    <w:link w:val="VerborgenTekstChar"/>
    <w:uiPriority w:val="14"/>
    <w:qFormat/>
    <w:rsid w:val="00140367"/>
    <w:rPr>
      <w:vanish/>
      <w:color w:val="FF0000"/>
    </w:rPr>
  </w:style>
  <w:style w:type="character" w:customStyle="1" w:styleId="VerborgenTekstChar">
    <w:name w:val="VerborgenTekst Char"/>
    <w:basedOn w:val="Standaardalinea-lettertype"/>
    <w:link w:val="VerborgenTekst"/>
    <w:uiPriority w:val="14"/>
    <w:rsid w:val="00140367"/>
    <w:rPr>
      <w:rFonts w:ascii="Verdana" w:eastAsia="Times New Roman" w:hAnsi="Verdana" w:cs="Times New Roman"/>
      <w:vanish/>
      <w:color w:val="FF0000"/>
      <w:sz w:val="18"/>
      <w:szCs w:val="20"/>
      <w:lang w:eastAsia="nl-NL"/>
    </w:rPr>
  </w:style>
  <w:style w:type="paragraph" w:customStyle="1" w:styleId="Verslagkopjes">
    <w:name w:val="Verslagkopjes"/>
    <w:basedOn w:val="Standaard"/>
    <w:link w:val="VerslagkopjesChar"/>
    <w:uiPriority w:val="6"/>
    <w:qFormat/>
    <w:rsid w:val="00140367"/>
    <w:rPr>
      <w:b/>
      <w:bCs/>
      <w:iCs/>
    </w:rPr>
  </w:style>
  <w:style w:type="character" w:customStyle="1" w:styleId="VerslagkopjesChar">
    <w:name w:val="Verslagkopjes Char"/>
    <w:basedOn w:val="Standaardalinea-lettertype"/>
    <w:link w:val="Verslagkopjes"/>
    <w:uiPriority w:val="6"/>
    <w:rsid w:val="00140367"/>
    <w:rPr>
      <w:rFonts w:ascii="Verdana" w:eastAsia="Times New Roman" w:hAnsi="Verdana" w:cs="Times New Roman"/>
      <w:b/>
      <w:bCs/>
      <w:iCs/>
      <w:sz w:val="18"/>
      <w:szCs w:val="20"/>
      <w:lang w:eastAsia="nl-NL"/>
    </w:rPr>
  </w:style>
  <w:style w:type="paragraph" w:customStyle="1" w:styleId="Verslagnummering">
    <w:name w:val="Verslagnummering"/>
    <w:basedOn w:val="Standaard"/>
    <w:uiPriority w:val="7"/>
    <w:qFormat/>
    <w:rsid w:val="00140367"/>
    <w:pPr>
      <w:numPr>
        <w:numId w:val="4"/>
      </w:numPr>
      <w:tabs>
        <w:tab w:val="right" w:pos="6622"/>
        <w:tab w:val="right" w:pos="6688"/>
      </w:tabs>
    </w:pPr>
    <w:rPr>
      <w:b/>
    </w:rPr>
  </w:style>
  <w:style w:type="character" w:styleId="Voetnootmarkering">
    <w:name w:val="footnote reference"/>
    <w:basedOn w:val="Standaardalinea-lettertype"/>
    <w:uiPriority w:val="99"/>
    <w:unhideWhenUsed/>
    <w:rsid w:val="00140367"/>
    <w:rPr>
      <w:rFonts w:ascii="Verdana" w:hAnsi="Verdana"/>
      <w:sz w:val="14"/>
      <w:vertAlign w:val="superscript"/>
    </w:rPr>
  </w:style>
  <w:style w:type="paragraph" w:styleId="Voetnoottekst">
    <w:name w:val="footnote text"/>
    <w:basedOn w:val="Standaard"/>
    <w:link w:val="VoetnoottekstChar"/>
    <w:uiPriority w:val="99"/>
    <w:semiHidden/>
    <w:unhideWhenUsed/>
    <w:rsid w:val="00140367"/>
    <w:rPr>
      <w:sz w:val="14"/>
    </w:rPr>
  </w:style>
  <w:style w:type="character" w:customStyle="1" w:styleId="VoetnoottekstChar">
    <w:name w:val="Voetnoottekst Char"/>
    <w:basedOn w:val="Standaardalinea-lettertype"/>
    <w:link w:val="Voetnoottekst"/>
    <w:uiPriority w:val="99"/>
    <w:semiHidden/>
    <w:rsid w:val="00140367"/>
    <w:rPr>
      <w:rFonts w:ascii="Verdana" w:eastAsia="Times New Roman" w:hAnsi="Verdana" w:cs="Times New Roman"/>
      <w:sz w:val="14"/>
      <w:szCs w:val="20"/>
      <w:lang w:eastAsia="nl-NL"/>
    </w:rPr>
  </w:style>
  <w:style w:type="paragraph" w:styleId="Voettekst">
    <w:name w:val="footer"/>
    <w:basedOn w:val="Standaard"/>
    <w:link w:val="VoettekstChar"/>
    <w:uiPriority w:val="99"/>
    <w:unhideWhenUsed/>
    <w:rsid w:val="00140367"/>
    <w:pPr>
      <w:tabs>
        <w:tab w:val="center" w:pos="4536"/>
        <w:tab w:val="right" w:pos="9072"/>
      </w:tabs>
    </w:pPr>
  </w:style>
  <w:style w:type="character" w:customStyle="1" w:styleId="VoettekstChar">
    <w:name w:val="Voettekst Char"/>
    <w:basedOn w:val="Standaardalinea-lettertype"/>
    <w:link w:val="Voettekst"/>
    <w:uiPriority w:val="99"/>
    <w:rsid w:val="00140367"/>
    <w:rPr>
      <w:rFonts w:ascii="Verdana" w:eastAsia="Times New Roman" w:hAnsi="Verdana" w:cs="Times New Roman"/>
      <w:sz w:val="18"/>
      <w:szCs w:val="20"/>
      <w:lang w:eastAsia="nl-NL"/>
    </w:rPr>
  </w:style>
  <w:style w:type="paragraph" w:customStyle="1" w:styleId="VoettekstAfwijkend">
    <w:name w:val="VoettekstAfwijkend"/>
    <w:basedOn w:val="Standaard"/>
    <w:uiPriority w:val="16"/>
    <w:qFormat/>
    <w:rsid w:val="00140367"/>
    <w:rPr>
      <w:sz w:val="14"/>
    </w:rPr>
  </w:style>
  <w:style w:type="paragraph" w:styleId="Ballontekst">
    <w:name w:val="Balloon Text"/>
    <w:basedOn w:val="Standaard"/>
    <w:link w:val="BallontekstChar"/>
    <w:uiPriority w:val="99"/>
    <w:semiHidden/>
    <w:unhideWhenUsed/>
    <w:rsid w:val="00DA4868"/>
    <w:rPr>
      <w:rFonts w:ascii="Tahoma" w:hAnsi="Tahoma" w:cs="Tahoma"/>
      <w:sz w:val="16"/>
      <w:szCs w:val="16"/>
    </w:rPr>
  </w:style>
  <w:style w:type="character" w:customStyle="1" w:styleId="BallontekstChar">
    <w:name w:val="Ballontekst Char"/>
    <w:basedOn w:val="Standaardalinea-lettertype"/>
    <w:link w:val="Ballontekst"/>
    <w:uiPriority w:val="99"/>
    <w:semiHidden/>
    <w:rsid w:val="00DA4868"/>
    <w:rPr>
      <w:rFonts w:ascii="Tahoma" w:hAnsi="Tahoma" w:cs="Tahoma"/>
      <w:sz w:val="16"/>
      <w:szCs w:val="16"/>
    </w:rPr>
  </w:style>
  <w:style w:type="character" w:styleId="Verwijzingopmerking">
    <w:name w:val="annotation reference"/>
    <w:basedOn w:val="Standaardalinea-lettertype"/>
    <w:uiPriority w:val="99"/>
    <w:semiHidden/>
    <w:unhideWhenUsed/>
    <w:rsid w:val="00824BC0"/>
    <w:rPr>
      <w:sz w:val="16"/>
      <w:szCs w:val="16"/>
    </w:rPr>
  </w:style>
  <w:style w:type="paragraph" w:styleId="Tekstopmerking">
    <w:name w:val="annotation text"/>
    <w:basedOn w:val="Standaard"/>
    <w:link w:val="TekstopmerkingChar"/>
    <w:uiPriority w:val="99"/>
    <w:semiHidden/>
    <w:unhideWhenUsed/>
    <w:rsid w:val="00824BC0"/>
    <w:rPr>
      <w:sz w:val="20"/>
      <w:szCs w:val="20"/>
    </w:rPr>
  </w:style>
  <w:style w:type="character" w:customStyle="1" w:styleId="TekstopmerkingChar">
    <w:name w:val="Tekst opmerking Char"/>
    <w:basedOn w:val="Standaardalinea-lettertype"/>
    <w:link w:val="Tekstopmerking"/>
    <w:uiPriority w:val="99"/>
    <w:semiHidden/>
    <w:rsid w:val="00824BC0"/>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824BC0"/>
    <w:rPr>
      <w:b/>
      <w:bCs/>
    </w:rPr>
  </w:style>
  <w:style w:type="character" w:customStyle="1" w:styleId="OnderwerpvanopmerkingChar">
    <w:name w:val="Onderwerp van opmerking Char"/>
    <w:basedOn w:val="TekstopmerkingChar"/>
    <w:link w:val="Onderwerpvanopmerking"/>
    <w:uiPriority w:val="99"/>
    <w:semiHidden/>
    <w:rsid w:val="00824BC0"/>
    <w:rPr>
      <w:rFonts w:ascii="Verdana" w:hAnsi="Verdana"/>
      <w:b/>
      <w:bCs/>
      <w:sz w:val="20"/>
      <w:szCs w:val="20"/>
    </w:rPr>
  </w:style>
  <w:style w:type="paragraph" w:styleId="Revisie">
    <w:name w:val="Revision"/>
    <w:hidden/>
    <w:uiPriority w:val="99"/>
    <w:semiHidden/>
    <w:rsid w:val="00824BC0"/>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ocal_bierkensic/INetCache/Content.Outlook/R27CBLZ2/08c%20LV_juni2019_model%20kostentoedeling_toelichting.%20DEF%20(002).docx" TargetMode="External"/><Relationship Id="rId13" Type="http://schemas.openxmlformats.org/officeDocument/2006/relationships/hyperlink" Target="file:///C:/Users/local_bierkensic/INetCache/Content.Outlook/R27CBLZ2/08c%20LV_juni2019_model%20kostentoedeling_toelichting.%20DEF%20(002).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local_bierkensic/INetCache/Content.Outlook/R27CBLZ2/08c%20LV_juni2019_model%20kostentoedeling_toelichting.%20DEF%20(002).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ocal_bierkensic/INetCache/Content.Outlook/R27CBLZ2/08c%20LV_juni2019_model%20kostentoedeling_toelichting.%20DEF%20(002).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local_bierkensic/INetCache/Content.Outlook/R27CBLZ2/08c%20LV_juni2019_model%20kostentoedeling_toelichting.%20DEF%20(002).docx" TargetMode="External"/><Relationship Id="rId4" Type="http://schemas.openxmlformats.org/officeDocument/2006/relationships/settings" Target="settings.xml"/><Relationship Id="rId9" Type="http://schemas.openxmlformats.org/officeDocument/2006/relationships/hyperlink" Target="file:///C:/Users/local_bierkensic/INetCache/Content.Outlook/R27CBLZ2/08c%20LV_juni2019_model%20kostentoedeling_toelichting.%20DEF%20(002).doc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5EF49-E571-4D12-AFB2-17F0E1E51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6814</Words>
  <Characters>37480</Characters>
  <Application>Microsoft Office Word</Application>
  <DocSecurity>4</DocSecurity>
  <Lines>312</Lines>
  <Paragraphs>88</Paragraphs>
  <ScaleCrop>false</ScaleCrop>
  <HeadingPairs>
    <vt:vector size="2" baseType="variant">
      <vt:variant>
        <vt:lpstr>Titel</vt:lpstr>
      </vt:variant>
      <vt:variant>
        <vt:i4>1</vt:i4>
      </vt:variant>
    </vt:vector>
  </HeadingPairs>
  <TitlesOfParts>
    <vt:vector size="1" baseType="lpstr">
      <vt:lpstr/>
    </vt:vector>
  </TitlesOfParts>
  <Company>Waterschap Brabantse Delta</Company>
  <LinksUpToDate>false</LinksUpToDate>
  <CharactersWithSpaces>44206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Bierkens, Ilona</dc:creator>
  <cp:lastModifiedBy>Bierkens, Ilona</cp:lastModifiedBy>
  <cp:revision>2</cp:revision>
  <dcterms:created xsi:type="dcterms:W3CDTF">2023-07-11T06:33:00Z</dcterms:created>
  <dcterms:modified xsi:type="dcterms:W3CDTF">2023-07-11T06:33:00Z</dcterms:modified>
</cp:coreProperties>
</file>